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7843" w:rsidRPr="005D7843" w:rsidRDefault="005D7843" w:rsidP="005D7843">
      <w:pPr>
        <w:keepNext/>
        <w:spacing w:before="240" w:after="60"/>
        <w:outlineLvl w:val="0"/>
        <w:rPr>
          <w:rFonts w:ascii="Cambria" w:eastAsia="Times New Roman" w:hAnsi="Cambria"/>
          <w:b/>
          <w:bCs/>
          <w:color w:val="4F81BD"/>
          <w:kern w:val="32"/>
          <w:sz w:val="32"/>
          <w:szCs w:val="32"/>
          <w:lang w:val="en-US"/>
        </w:rPr>
      </w:pPr>
      <w:bookmarkStart w:id="0" w:name="_Toc419471432"/>
      <w:proofErr w:type="gramStart"/>
      <w:r w:rsidRPr="005D7843">
        <w:rPr>
          <w:rFonts w:ascii="Cambria" w:eastAsia="Times New Roman" w:hAnsi="Cambria"/>
          <w:b/>
          <w:bCs/>
          <w:color w:val="4F81BD"/>
          <w:kern w:val="32"/>
          <w:sz w:val="32"/>
          <w:szCs w:val="32"/>
          <w:lang w:val="en-US"/>
        </w:rPr>
        <w:t>Indicator 1.4.2.</w:t>
      </w:r>
      <w:bookmarkEnd w:id="0"/>
      <w:proofErr w:type="gramEnd"/>
      <w:r w:rsidRPr="005D7843">
        <w:rPr>
          <w:rFonts w:ascii="Cambria" w:eastAsia="Times New Roman" w:hAnsi="Cambria"/>
          <w:b/>
          <w:bCs/>
          <w:color w:val="4F81BD"/>
          <w:kern w:val="32"/>
          <w:sz w:val="32"/>
          <w:szCs w:val="32"/>
          <w:lang w:val="en-US"/>
        </w:rPr>
        <w:t xml:space="preserve"> </w:t>
      </w:r>
    </w:p>
    <w:p w:rsidR="005D7843" w:rsidRPr="005D7843" w:rsidRDefault="005D7843" w:rsidP="005D7843">
      <w:pPr>
        <w:rPr>
          <w:rFonts w:ascii="Tahoma" w:eastAsia="Times New Roman" w:hAnsi="Tahoma" w:cs="Tahoma"/>
          <w:sz w:val="20"/>
          <w:szCs w:val="20"/>
          <w:lang w:val="en-US"/>
        </w:rPr>
      </w:pPr>
      <w:r w:rsidRPr="005D7843">
        <w:rPr>
          <w:rFonts w:ascii="Tahoma" w:eastAsia="Times New Roman" w:hAnsi="Tahoma" w:cs="Tahoma"/>
          <w:sz w:val="20"/>
          <w:szCs w:val="20"/>
          <w:lang w:val="en-US"/>
        </w:rPr>
        <w:t>Proposed alternative (new) indicator (1.4.2) – It is not a new indicator, but an adjustment to the current one to better align with the ambition of the Agenda and current international agreements.</w:t>
      </w:r>
    </w:p>
    <w:p w:rsidR="005D7843" w:rsidRPr="005D7843" w:rsidRDefault="005D7843" w:rsidP="005D7843">
      <w:pPr>
        <w:ind w:left="360"/>
        <w:rPr>
          <w:rFonts w:ascii="Tahoma" w:eastAsia="Times New Roman" w:hAnsi="Tahoma" w:cs="Tahoma"/>
          <w:b/>
          <w:sz w:val="20"/>
          <w:szCs w:val="20"/>
          <w:lang w:val="en-US"/>
        </w:rPr>
      </w:pPr>
    </w:p>
    <w:p w:rsidR="005D7843" w:rsidRPr="005D7843" w:rsidRDefault="005D7843" w:rsidP="005D7843">
      <w:pPr>
        <w:numPr>
          <w:ilvl w:val="0"/>
          <w:numId w:val="5"/>
        </w:numPr>
        <w:rPr>
          <w:rFonts w:ascii="Tahoma" w:eastAsia="Times New Roman" w:hAnsi="Tahoma" w:cs="Tahoma"/>
          <w:b/>
          <w:sz w:val="20"/>
          <w:szCs w:val="20"/>
          <w:lang w:val="en-US"/>
        </w:rPr>
      </w:pPr>
      <w:r w:rsidRPr="005D7843">
        <w:rPr>
          <w:rFonts w:ascii="Tahoma" w:eastAsia="Times New Roman" w:hAnsi="Tahoma" w:cs="Tahoma"/>
          <w:b/>
          <w:sz w:val="20"/>
          <w:szCs w:val="20"/>
          <w:lang w:val="en-US"/>
        </w:rPr>
        <w:t>Revised indicator:</w:t>
      </w:r>
    </w:p>
    <w:p w:rsidR="005D7843" w:rsidRPr="005D7843" w:rsidRDefault="005D7843" w:rsidP="005D7843">
      <w:pPr>
        <w:rPr>
          <w:rFonts w:ascii="Tahoma" w:eastAsia="Times New Roman" w:hAnsi="Tahoma" w:cs="Tahoma"/>
          <w:i/>
          <w:sz w:val="20"/>
          <w:szCs w:val="20"/>
          <w:lang w:val="en-US"/>
        </w:rPr>
      </w:pPr>
    </w:p>
    <w:p w:rsidR="005D7843" w:rsidRPr="005D7843" w:rsidRDefault="005D7843" w:rsidP="005D7843">
      <w:pPr>
        <w:rPr>
          <w:rFonts w:ascii="Tahoma" w:eastAsia="Times New Roman" w:hAnsi="Tahoma" w:cs="Tahoma"/>
          <w:i/>
          <w:sz w:val="20"/>
          <w:szCs w:val="20"/>
          <w:lang w:val="en-US"/>
        </w:rPr>
      </w:pPr>
      <w:r w:rsidRPr="005D7843">
        <w:rPr>
          <w:rFonts w:ascii="Tahoma" w:eastAsia="Times New Roman" w:hAnsi="Tahoma" w:cs="Tahoma"/>
          <w:i/>
          <w:sz w:val="20"/>
          <w:szCs w:val="20"/>
          <w:lang w:val="en-US"/>
        </w:rPr>
        <w:t xml:space="preserve">Percentage of women, men, indigenous peoples, and local communities (IPLCs) with secure rights to individually or communally held land, property and natural resources, measured by: a) percentage with legally documented or recognized evidence of tenure, and b) percentage who perceive their rights are recognized and protected </w:t>
      </w:r>
    </w:p>
    <w:p w:rsidR="005D7843" w:rsidRPr="005D7843" w:rsidRDefault="005D7843" w:rsidP="005D7843">
      <w:pPr>
        <w:rPr>
          <w:rFonts w:ascii="Tahoma" w:eastAsia="Times New Roman" w:hAnsi="Tahoma" w:cs="Tahoma"/>
          <w:i/>
          <w:sz w:val="20"/>
          <w:szCs w:val="20"/>
          <w:lang w:val="en-US"/>
        </w:rPr>
      </w:pPr>
    </w:p>
    <w:p w:rsidR="005D7843" w:rsidRPr="005D7843" w:rsidRDefault="005D7843" w:rsidP="005D7843">
      <w:pPr>
        <w:numPr>
          <w:ilvl w:val="0"/>
          <w:numId w:val="5"/>
        </w:numPr>
        <w:rPr>
          <w:rFonts w:ascii="Tahoma" w:eastAsia="Times New Roman" w:hAnsi="Tahoma" w:cs="Tahoma"/>
          <w:b/>
          <w:sz w:val="20"/>
          <w:szCs w:val="20"/>
          <w:lang w:val="en-US"/>
        </w:rPr>
      </w:pPr>
      <w:r w:rsidRPr="005D7843">
        <w:rPr>
          <w:rFonts w:ascii="Tahoma" w:eastAsia="Times New Roman" w:hAnsi="Tahoma" w:cs="Tahoma"/>
          <w:b/>
          <w:sz w:val="20"/>
          <w:szCs w:val="20"/>
          <w:lang w:val="en-US"/>
        </w:rPr>
        <w:t>Goal and Target Addressed</w:t>
      </w:r>
    </w:p>
    <w:p w:rsidR="005D7843" w:rsidRPr="005D7843" w:rsidRDefault="005D7843" w:rsidP="005D7843">
      <w:pPr>
        <w:ind w:left="360"/>
        <w:rPr>
          <w:rFonts w:ascii="Tahoma" w:eastAsia="Times New Roman" w:hAnsi="Tahoma" w:cs="Tahoma"/>
          <w:b/>
          <w:sz w:val="20"/>
          <w:szCs w:val="20"/>
          <w:lang w:val="en-US"/>
        </w:rPr>
      </w:pPr>
    </w:p>
    <w:p w:rsidR="005D7843" w:rsidRPr="005D7843" w:rsidRDefault="005D7843" w:rsidP="005D7843">
      <w:pPr>
        <w:rPr>
          <w:rFonts w:ascii="Tahoma" w:eastAsia="Times New Roman" w:hAnsi="Tahoma" w:cs="Tahoma"/>
          <w:sz w:val="20"/>
          <w:szCs w:val="20"/>
          <w:lang w:val="en-US"/>
        </w:rPr>
      </w:pPr>
      <w:r w:rsidRPr="005D7843">
        <w:rPr>
          <w:rFonts w:ascii="Tahoma" w:eastAsia="Times New Roman" w:hAnsi="Tahoma" w:cs="Tahoma"/>
          <w:sz w:val="20"/>
          <w:szCs w:val="20"/>
          <w:lang w:val="en-US"/>
        </w:rPr>
        <w:t>Primary:</w:t>
      </w:r>
      <w:r w:rsidRPr="005D7843">
        <w:rPr>
          <w:rFonts w:ascii="Tahoma" w:eastAsia="Times New Roman" w:hAnsi="Tahoma" w:cs="Tahoma"/>
          <w:sz w:val="20"/>
          <w:szCs w:val="20"/>
          <w:lang w:val="en-US"/>
        </w:rPr>
        <w:tab/>
        <w:t>Goal 1, Target 1.4.</w:t>
      </w:r>
    </w:p>
    <w:p w:rsidR="005D7843" w:rsidRPr="005D7843" w:rsidRDefault="005D7843" w:rsidP="005D7843">
      <w:pPr>
        <w:rPr>
          <w:rFonts w:ascii="Tahoma" w:eastAsia="Times New Roman" w:hAnsi="Tahoma" w:cs="Tahoma"/>
          <w:sz w:val="20"/>
          <w:szCs w:val="20"/>
          <w:lang w:val="en-US"/>
        </w:rPr>
      </w:pPr>
      <w:r w:rsidRPr="005D7843">
        <w:rPr>
          <w:rFonts w:ascii="Tahoma" w:eastAsia="Times New Roman" w:hAnsi="Tahoma" w:cs="Tahoma"/>
          <w:sz w:val="20"/>
          <w:szCs w:val="20"/>
          <w:lang w:val="en-US"/>
        </w:rPr>
        <w:t>Other:</w:t>
      </w:r>
      <w:r w:rsidRPr="005D7843">
        <w:rPr>
          <w:rFonts w:ascii="Tahoma" w:eastAsia="Times New Roman" w:hAnsi="Tahoma" w:cs="Tahoma"/>
          <w:sz w:val="20"/>
          <w:szCs w:val="20"/>
          <w:lang w:val="en-US"/>
        </w:rPr>
        <w:tab/>
      </w:r>
      <w:r w:rsidRPr="005D7843">
        <w:rPr>
          <w:rFonts w:ascii="Tahoma" w:eastAsia="Times New Roman" w:hAnsi="Tahoma" w:cs="Tahoma"/>
          <w:sz w:val="20"/>
          <w:szCs w:val="20"/>
          <w:lang w:val="en-US"/>
        </w:rPr>
        <w:tab/>
        <w:t>Goal 2, Target 2.3.</w:t>
      </w:r>
    </w:p>
    <w:p w:rsidR="005D7843" w:rsidRPr="005D7843" w:rsidRDefault="005D7843" w:rsidP="005D7843">
      <w:pPr>
        <w:rPr>
          <w:rFonts w:ascii="Tahoma" w:eastAsia="Times New Roman" w:hAnsi="Tahoma" w:cs="Tahoma"/>
          <w:sz w:val="20"/>
          <w:szCs w:val="20"/>
          <w:lang w:val="en-US"/>
        </w:rPr>
      </w:pPr>
      <w:r w:rsidRPr="005D7843">
        <w:rPr>
          <w:rFonts w:ascii="Tahoma" w:eastAsia="Times New Roman" w:hAnsi="Tahoma" w:cs="Tahoma"/>
          <w:sz w:val="20"/>
          <w:szCs w:val="20"/>
          <w:lang w:val="en-US"/>
        </w:rPr>
        <w:tab/>
      </w:r>
      <w:r w:rsidRPr="005D7843">
        <w:rPr>
          <w:rFonts w:ascii="Tahoma" w:eastAsia="Times New Roman" w:hAnsi="Tahoma" w:cs="Tahoma"/>
          <w:sz w:val="20"/>
          <w:szCs w:val="20"/>
          <w:lang w:val="en-US"/>
        </w:rPr>
        <w:tab/>
      </w:r>
      <w:proofErr w:type="gramStart"/>
      <w:r w:rsidRPr="005D7843">
        <w:rPr>
          <w:rFonts w:ascii="Tahoma" w:eastAsia="Times New Roman" w:hAnsi="Tahoma" w:cs="Tahoma"/>
          <w:sz w:val="20"/>
          <w:szCs w:val="20"/>
          <w:lang w:val="en-US"/>
        </w:rPr>
        <w:t>Goal 5, Target 5.a.</w:t>
      </w:r>
      <w:proofErr w:type="gramEnd"/>
    </w:p>
    <w:p w:rsidR="005D7843" w:rsidRPr="005D7843" w:rsidRDefault="005D7843" w:rsidP="005D7843">
      <w:pPr>
        <w:rPr>
          <w:rFonts w:ascii="Tahoma" w:eastAsia="Times New Roman" w:hAnsi="Tahoma" w:cs="Tahoma"/>
          <w:sz w:val="20"/>
          <w:szCs w:val="20"/>
          <w:lang w:val="en-US"/>
        </w:rPr>
      </w:pPr>
      <w:r w:rsidRPr="005D7843">
        <w:rPr>
          <w:rFonts w:ascii="Tahoma" w:eastAsia="Times New Roman" w:hAnsi="Tahoma" w:cs="Tahoma"/>
          <w:sz w:val="20"/>
          <w:szCs w:val="20"/>
          <w:lang w:val="en-US"/>
        </w:rPr>
        <w:t xml:space="preserve">  </w:t>
      </w:r>
      <w:r w:rsidRPr="005D7843">
        <w:rPr>
          <w:rFonts w:ascii="Tahoma" w:eastAsia="Times New Roman" w:hAnsi="Tahoma" w:cs="Tahoma"/>
          <w:sz w:val="20"/>
          <w:szCs w:val="20"/>
          <w:lang w:val="en-US"/>
        </w:rPr>
        <w:tab/>
      </w:r>
      <w:r w:rsidRPr="005D7843">
        <w:rPr>
          <w:rFonts w:ascii="Tahoma" w:eastAsia="Times New Roman" w:hAnsi="Tahoma" w:cs="Tahoma"/>
          <w:sz w:val="20"/>
          <w:szCs w:val="20"/>
          <w:lang w:val="en-US"/>
        </w:rPr>
        <w:tab/>
        <w:t>Goal 10, Target 10.2.</w:t>
      </w:r>
    </w:p>
    <w:p w:rsidR="005D7843" w:rsidRPr="005D7843" w:rsidRDefault="005D7843" w:rsidP="005D7843">
      <w:pPr>
        <w:rPr>
          <w:rFonts w:ascii="Tahoma" w:eastAsia="Times New Roman" w:hAnsi="Tahoma" w:cs="Tahoma"/>
          <w:sz w:val="20"/>
          <w:szCs w:val="20"/>
          <w:lang w:val="en-US"/>
        </w:rPr>
      </w:pPr>
      <w:r w:rsidRPr="005D7843">
        <w:rPr>
          <w:rFonts w:ascii="Tahoma" w:eastAsia="Times New Roman" w:hAnsi="Tahoma" w:cs="Tahoma"/>
          <w:sz w:val="20"/>
          <w:szCs w:val="20"/>
          <w:lang w:val="en-US"/>
        </w:rPr>
        <w:tab/>
      </w:r>
      <w:r w:rsidRPr="005D7843">
        <w:rPr>
          <w:rFonts w:ascii="Tahoma" w:eastAsia="Times New Roman" w:hAnsi="Tahoma" w:cs="Tahoma"/>
          <w:sz w:val="20"/>
          <w:szCs w:val="20"/>
          <w:lang w:val="en-US"/>
        </w:rPr>
        <w:tab/>
        <w:t>Goal 11, Target 11.1.</w:t>
      </w:r>
    </w:p>
    <w:p w:rsidR="005D7843" w:rsidRPr="005D7843" w:rsidRDefault="005D7843" w:rsidP="005D7843">
      <w:pPr>
        <w:rPr>
          <w:rFonts w:ascii="Tahoma" w:eastAsia="Times New Roman" w:hAnsi="Tahoma" w:cs="Tahoma"/>
          <w:sz w:val="20"/>
          <w:szCs w:val="20"/>
          <w:lang w:val="en-US"/>
        </w:rPr>
      </w:pPr>
      <w:r w:rsidRPr="005D7843">
        <w:rPr>
          <w:rFonts w:ascii="Tahoma" w:eastAsia="Times New Roman" w:hAnsi="Tahoma" w:cs="Tahoma"/>
          <w:sz w:val="20"/>
          <w:szCs w:val="20"/>
          <w:lang w:val="en-US"/>
        </w:rPr>
        <w:tab/>
      </w:r>
      <w:r w:rsidRPr="005D7843">
        <w:rPr>
          <w:rFonts w:ascii="Tahoma" w:eastAsia="Times New Roman" w:hAnsi="Tahoma" w:cs="Tahoma"/>
          <w:sz w:val="20"/>
          <w:szCs w:val="20"/>
          <w:lang w:val="en-US"/>
        </w:rPr>
        <w:tab/>
      </w:r>
      <w:proofErr w:type="gramStart"/>
      <w:r w:rsidRPr="005D7843">
        <w:rPr>
          <w:rFonts w:ascii="Tahoma" w:eastAsia="Times New Roman" w:hAnsi="Tahoma" w:cs="Tahoma"/>
          <w:sz w:val="20"/>
          <w:szCs w:val="20"/>
          <w:lang w:val="en-US"/>
        </w:rPr>
        <w:t>Goal 15, Target 15.a.</w:t>
      </w:r>
      <w:proofErr w:type="gramEnd"/>
    </w:p>
    <w:p w:rsidR="005D7843" w:rsidRPr="005D7843" w:rsidRDefault="005D7843" w:rsidP="005D7843">
      <w:pPr>
        <w:rPr>
          <w:rFonts w:ascii="Tahoma" w:eastAsia="Times New Roman" w:hAnsi="Tahoma" w:cs="Tahoma"/>
          <w:b/>
          <w:sz w:val="20"/>
          <w:szCs w:val="20"/>
          <w:lang w:val="en-US"/>
        </w:rPr>
      </w:pPr>
    </w:p>
    <w:p w:rsidR="005D7843" w:rsidRPr="005D7843" w:rsidRDefault="005D7843" w:rsidP="005D7843">
      <w:pPr>
        <w:rPr>
          <w:rFonts w:ascii="Tahoma" w:eastAsia="Times New Roman" w:hAnsi="Tahoma" w:cs="Tahoma"/>
          <w:i/>
          <w:sz w:val="20"/>
          <w:szCs w:val="20"/>
          <w:lang w:val="en-US"/>
        </w:rPr>
      </w:pPr>
    </w:p>
    <w:p w:rsidR="005D7843" w:rsidRPr="005D7843" w:rsidRDefault="005D7843" w:rsidP="005D7843">
      <w:pPr>
        <w:numPr>
          <w:ilvl w:val="0"/>
          <w:numId w:val="5"/>
        </w:numPr>
        <w:rPr>
          <w:rFonts w:ascii="Tahoma" w:eastAsia="Times New Roman" w:hAnsi="Tahoma" w:cs="Tahoma"/>
          <w:b/>
          <w:bCs/>
          <w:sz w:val="20"/>
          <w:szCs w:val="20"/>
          <w:lang w:val="en-US"/>
        </w:rPr>
      </w:pPr>
      <w:r w:rsidRPr="005D7843">
        <w:rPr>
          <w:rFonts w:ascii="Tahoma" w:eastAsia="Times New Roman" w:hAnsi="Tahoma" w:cs="Tahoma"/>
          <w:b/>
          <w:bCs/>
          <w:sz w:val="20"/>
          <w:szCs w:val="20"/>
          <w:lang w:val="en-US"/>
        </w:rPr>
        <w:t>Terms used</w:t>
      </w:r>
    </w:p>
    <w:p w:rsidR="005D7843" w:rsidRPr="005D7843" w:rsidRDefault="005D7843" w:rsidP="005D7843">
      <w:pPr>
        <w:ind w:left="360"/>
        <w:rPr>
          <w:rFonts w:ascii="Tahoma" w:eastAsia="Times New Roman" w:hAnsi="Tahoma" w:cs="Tahoma"/>
          <w:b/>
          <w:bCs/>
          <w:sz w:val="20"/>
          <w:szCs w:val="20"/>
          <w:lang w:val="en-US"/>
        </w:rPr>
      </w:pPr>
    </w:p>
    <w:p w:rsidR="005D7843" w:rsidRPr="005D7843" w:rsidRDefault="005D7843" w:rsidP="005D7843">
      <w:pPr>
        <w:numPr>
          <w:ilvl w:val="0"/>
          <w:numId w:val="1"/>
        </w:numPr>
        <w:rPr>
          <w:rFonts w:ascii="Tahoma" w:eastAsia="Times New Roman" w:hAnsi="Tahoma" w:cs="Tahoma"/>
          <w:bCs/>
          <w:sz w:val="20"/>
          <w:szCs w:val="20"/>
          <w:lang w:val="en-US"/>
        </w:rPr>
      </w:pPr>
      <w:r w:rsidRPr="005D7843">
        <w:rPr>
          <w:rFonts w:ascii="Tahoma" w:eastAsia="Times New Roman" w:hAnsi="Tahoma" w:cs="Tahoma"/>
          <w:bCs/>
          <w:sz w:val="20"/>
          <w:szCs w:val="20"/>
          <w:lang w:val="en-US"/>
        </w:rPr>
        <w:t xml:space="preserve">Women and men = to be applied consistently along with definitions in the monitoring framework of the Agenda (suggested including youth 0-18).  </w:t>
      </w:r>
    </w:p>
    <w:p w:rsidR="005D7843" w:rsidRPr="005D7843" w:rsidRDefault="005D7843" w:rsidP="005D7843">
      <w:pPr>
        <w:numPr>
          <w:ilvl w:val="0"/>
          <w:numId w:val="1"/>
        </w:numPr>
        <w:rPr>
          <w:rFonts w:ascii="Tahoma" w:eastAsia="Times New Roman" w:hAnsi="Tahoma" w:cs="Tahoma"/>
          <w:bCs/>
          <w:sz w:val="20"/>
          <w:szCs w:val="20"/>
          <w:lang w:val="en-US"/>
        </w:rPr>
      </w:pPr>
      <w:r w:rsidRPr="005D7843">
        <w:rPr>
          <w:rFonts w:ascii="Tahoma" w:eastAsia="Times New Roman" w:hAnsi="Tahoma" w:cs="Tahoma"/>
          <w:bCs/>
          <w:sz w:val="20"/>
          <w:szCs w:val="20"/>
          <w:lang w:val="en-US"/>
        </w:rPr>
        <w:t xml:space="preserve">Indigenous peoples = as referenced in the Voluntary Guidelines on the Responsible Guidelines of Tenure (VGGT, endorsed by 193 States) and based on the following: </w:t>
      </w:r>
    </w:p>
    <w:p w:rsidR="005D7843" w:rsidRPr="005D7843" w:rsidRDefault="005D7843" w:rsidP="005D7843">
      <w:pPr>
        <w:ind w:left="360"/>
        <w:rPr>
          <w:rFonts w:ascii="Calibri" w:eastAsia="Times New Roman" w:hAnsi="Calibri" w:cs="Tahoma"/>
          <w:sz w:val="20"/>
          <w:szCs w:val="20"/>
          <w:lang w:val="en-US"/>
        </w:rPr>
      </w:pPr>
    </w:p>
    <w:p w:rsidR="005D7843" w:rsidRPr="005D7843" w:rsidRDefault="005D7843" w:rsidP="005D7843">
      <w:pPr>
        <w:numPr>
          <w:ilvl w:val="0"/>
          <w:numId w:val="2"/>
        </w:numPr>
        <w:rPr>
          <w:rFonts w:ascii="Tahoma" w:eastAsia="Times New Roman" w:hAnsi="Tahoma" w:cs="Tahoma"/>
          <w:bCs/>
          <w:sz w:val="20"/>
          <w:szCs w:val="20"/>
          <w:lang w:val="en-US"/>
        </w:rPr>
      </w:pPr>
      <w:r w:rsidRPr="005D7843">
        <w:rPr>
          <w:rFonts w:ascii="Tahoma" w:eastAsia="Times New Roman" w:hAnsi="Tahoma" w:cs="Tahoma"/>
          <w:bCs/>
          <w:sz w:val="20"/>
          <w:szCs w:val="20"/>
          <w:lang w:val="en-US"/>
        </w:rPr>
        <w:t>Self-identification as indigenous peoples at the individual level and accepted by the community as their member;</w:t>
      </w:r>
    </w:p>
    <w:p w:rsidR="005D7843" w:rsidRPr="005D7843" w:rsidRDefault="005D7843" w:rsidP="005D7843">
      <w:pPr>
        <w:numPr>
          <w:ilvl w:val="0"/>
          <w:numId w:val="2"/>
        </w:numPr>
        <w:rPr>
          <w:rFonts w:ascii="Tahoma" w:eastAsia="Times New Roman" w:hAnsi="Tahoma" w:cs="Tahoma"/>
          <w:bCs/>
          <w:sz w:val="20"/>
          <w:szCs w:val="20"/>
          <w:lang w:val="en-US"/>
        </w:rPr>
      </w:pPr>
      <w:r w:rsidRPr="005D7843">
        <w:rPr>
          <w:rFonts w:ascii="Tahoma" w:eastAsia="Times New Roman" w:hAnsi="Tahoma" w:cs="Tahoma"/>
          <w:bCs/>
          <w:sz w:val="20"/>
          <w:szCs w:val="20"/>
          <w:lang w:val="en-US"/>
        </w:rPr>
        <w:t>Historical continuity with pre-colonial and/or pre-settler societies;</w:t>
      </w:r>
    </w:p>
    <w:p w:rsidR="005D7843" w:rsidRPr="005D7843" w:rsidRDefault="005D7843" w:rsidP="005D7843">
      <w:pPr>
        <w:numPr>
          <w:ilvl w:val="0"/>
          <w:numId w:val="2"/>
        </w:numPr>
        <w:rPr>
          <w:rFonts w:ascii="Tahoma" w:eastAsia="Times New Roman" w:hAnsi="Tahoma" w:cs="Tahoma"/>
          <w:bCs/>
          <w:sz w:val="20"/>
          <w:szCs w:val="20"/>
          <w:lang w:val="en-US"/>
        </w:rPr>
      </w:pPr>
      <w:r w:rsidRPr="005D7843">
        <w:rPr>
          <w:rFonts w:ascii="Tahoma" w:eastAsia="Times New Roman" w:hAnsi="Tahoma" w:cs="Tahoma"/>
          <w:bCs/>
          <w:sz w:val="20"/>
          <w:szCs w:val="20"/>
          <w:lang w:val="en-US"/>
        </w:rPr>
        <w:t>Strong link to territories and surrounding natural resources;</w:t>
      </w:r>
    </w:p>
    <w:p w:rsidR="005D7843" w:rsidRPr="005D7843" w:rsidRDefault="005D7843" w:rsidP="005D7843">
      <w:pPr>
        <w:numPr>
          <w:ilvl w:val="0"/>
          <w:numId w:val="2"/>
        </w:numPr>
        <w:rPr>
          <w:rFonts w:ascii="Tahoma" w:eastAsia="Times New Roman" w:hAnsi="Tahoma" w:cs="Tahoma"/>
          <w:bCs/>
          <w:sz w:val="20"/>
          <w:szCs w:val="20"/>
          <w:lang w:val="en-US"/>
        </w:rPr>
      </w:pPr>
      <w:r w:rsidRPr="005D7843">
        <w:rPr>
          <w:rFonts w:ascii="Tahoma" w:eastAsia="Times New Roman" w:hAnsi="Tahoma" w:cs="Tahoma"/>
          <w:bCs/>
          <w:sz w:val="20"/>
          <w:szCs w:val="20"/>
          <w:lang w:val="en-US"/>
        </w:rPr>
        <w:t>Distinct social, economic or political systems;</w:t>
      </w:r>
    </w:p>
    <w:p w:rsidR="005D7843" w:rsidRPr="005D7843" w:rsidRDefault="005D7843" w:rsidP="005D7843">
      <w:pPr>
        <w:numPr>
          <w:ilvl w:val="0"/>
          <w:numId w:val="2"/>
        </w:numPr>
        <w:rPr>
          <w:rFonts w:ascii="Tahoma" w:eastAsia="Times New Roman" w:hAnsi="Tahoma" w:cs="Tahoma"/>
          <w:bCs/>
          <w:sz w:val="20"/>
          <w:szCs w:val="20"/>
          <w:lang w:val="en-US"/>
        </w:rPr>
      </w:pPr>
      <w:r w:rsidRPr="005D7843">
        <w:rPr>
          <w:rFonts w:ascii="Tahoma" w:eastAsia="Times New Roman" w:hAnsi="Tahoma" w:cs="Tahoma"/>
          <w:bCs/>
          <w:sz w:val="20"/>
          <w:szCs w:val="20"/>
          <w:lang w:val="en-US"/>
        </w:rPr>
        <w:t>Distinct language, culture and beliefs;</w:t>
      </w:r>
    </w:p>
    <w:p w:rsidR="005D7843" w:rsidRPr="005D7843" w:rsidRDefault="005D7843" w:rsidP="005D7843">
      <w:pPr>
        <w:numPr>
          <w:ilvl w:val="0"/>
          <w:numId w:val="2"/>
        </w:numPr>
        <w:rPr>
          <w:rFonts w:ascii="Tahoma" w:eastAsia="Times New Roman" w:hAnsi="Tahoma" w:cs="Tahoma"/>
          <w:bCs/>
          <w:sz w:val="20"/>
          <w:szCs w:val="20"/>
          <w:lang w:val="en-US"/>
        </w:rPr>
      </w:pPr>
      <w:r w:rsidRPr="005D7843">
        <w:rPr>
          <w:rFonts w:ascii="Tahoma" w:eastAsia="Times New Roman" w:hAnsi="Tahoma" w:cs="Tahoma"/>
          <w:bCs/>
          <w:sz w:val="20"/>
          <w:szCs w:val="20"/>
          <w:lang w:val="en-US"/>
        </w:rPr>
        <w:t>Form non-dominant groups of society;</w:t>
      </w:r>
    </w:p>
    <w:p w:rsidR="005D7843" w:rsidRPr="005D7843" w:rsidRDefault="005D7843" w:rsidP="005D7843">
      <w:pPr>
        <w:numPr>
          <w:ilvl w:val="0"/>
          <w:numId w:val="2"/>
        </w:numPr>
        <w:rPr>
          <w:rFonts w:ascii="Tahoma" w:eastAsia="Times New Roman" w:hAnsi="Tahoma" w:cs="Tahoma"/>
          <w:bCs/>
          <w:sz w:val="20"/>
          <w:szCs w:val="20"/>
          <w:lang w:val="en-US"/>
        </w:rPr>
      </w:pPr>
      <w:r w:rsidRPr="005D7843">
        <w:rPr>
          <w:rFonts w:ascii="Tahoma" w:eastAsia="Times New Roman" w:hAnsi="Tahoma" w:cs="Tahoma"/>
          <w:bCs/>
          <w:sz w:val="20"/>
          <w:szCs w:val="20"/>
          <w:lang w:val="en-US"/>
        </w:rPr>
        <w:t>Resolve to maintain and reproduce their ancestral environments and systems as distinctive peoples and communities</w:t>
      </w:r>
    </w:p>
    <w:p w:rsidR="005D7843" w:rsidRPr="005D7843" w:rsidRDefault="005D7843" w:rsidP="005D7843">
      <w:pPr>
        <w:ind w:left="644"/>
        <w:rPr>
          <w:rFonts w:ascii="Tahoma" w:eastAsia="Times New Roman" w:hAnsi="Tahoma" w:cs="Tahoma"/>
          <w:bCs/>
          <w:sz w:val="20"/>
          <w:szCs w:val="20"/>
          <w:lang w:val="en-US"/>
        </w:rPr>
      </w:pPr>
    </w:p>
    <w:p w:rsidR="005D7843" w:rsidRPr="005D7843" w:rsidRDefault="005D7843" w:rsidP="005D7843">
      <w:pPr>
        <w:ind w:left="360"/>
        <w:rPr>
          <w:rFonts w:ascii="Tahoma" w:eastAsia="Times New Roman" w:hAnsi="Tahoma" w:cs="Tahoma"/>
          <w:bCs/>
          <w:sz w:val="20"/>
          <w:szCs w:val="20"/>
          <w:lang w:val="en-US"/>
        </w:rPr>
      </w:pPr>
      <w:r w:rsidRPr="005D7843">
        <w:rPr>
          <w:rFonts w:ascii="Tahoma" w:eastAsia="Times New Roman" w:hAnsi="Tahoma" w:cs="Tahoma"/>
          <w:bCs/>
          <w:sz w:val="20"/>
          <w:szCs w:val="20"/>
          <w:lang w:val="en-US"/>
        </w:rPr>
        <w:t xml:space="preserve">Where for some reasons the term indigenous peoples do not apply, the term local community (below) can be used in the context of tenure to highlight a subject of tenure rights that enjoy collective rights.  </w:t>
      </w:r>
    </w:p>
    <w:p w:rsidR="005D7843" w:rsidRPr="005D7843" w:rsidRDefault="005D7843" w:rsidP="005D7843">
      <w:pPr>
        <w:ind w:left="360"/>
        <w:rPr>
          <w:rFonts w:ascii="Tahoma" w:eastAsia="Times New Roman" w:hAnsi="Tahoma" w:cs="Tahoma"/>
          <w:bCs/>
          <w:sz w:val="20"/>
          <w:szCs w:val="20"/>
          <w:lang w:val="en-US"/>
        </w:rPr>
      </w:pPr>
    </w:p>
    <w:p w:rsidR="005D7843" w:rsidRPr="005D7843" w:rsidRDefault="005D7843" w:rsidP="005D7843">
      <w:pPr>
        <w:numPr>
          <w:ilvl w:val="0"/>
          <w:numId w:val="1"/>
        </w:numPr>
        <w:rPr>
          <w:rFonts w:ascii="Tahoma" w:eastAsia="Times New Roman" w:hAnsi="Tahoma" w:cs="Tahoma"/>
          <w:bCs/>
          <w:sz w:val="20"/>
          <w:szCs w:val="20"/>
          <w:lang w:val="en-US"/>
        </w:rPr>
      </w:pPr>
      <w:r w:rsidRPr="005D7843">
        <w:rPr>
          <w:rFonts w:ascii="Tahoma" w:eastAsia="Times New Roman" w:hAnsi="Tahoma" w:cs="Tahoma"/>
          <w:bCs/>
          <w:sz w:val="20"/>
          <w:szCs w:val="20"/>
          <w:lang w:val="en-US"/>
        </w:rPr>
        <w:t>Local communities = as referenced in the Convention for Biological Diversity, and other international instruments. The definition of local communities varies across countries, but essentially refers to collective subject of tenure rights, who have a legal personality or are otherwise subjects of tenure rights either through customary or statutory law. They include pastoralists, fisher-folk, hunter-gatherers, slum-dwellers, and any other community of land users accessing and using common-pool resources. In that they capture the rights of specific groups mentioned in Target 2.3.</w:t>
      </w:r>
    </w:p>
    <w:p w:rsidR="005D7843" w:rsidRPr="005D7843" w:rsidRDefault="005D7843" w:rsidP="005D7843">
      <w:pPr>
        <w:ind w:left="360"/>
        <w:rPr>
          <w:rFonts w:ascii="Tahoma" w:eastAsia="Times New Roman" w:hAnsi="Tahoma" w:cs="Tahoma"/>
          <w:bCs/>
          <w:sz w:val="20"/>
          <w:szCs w:val="20"/>
          <w:lang w:val="en-US"/>
        </w:rPr>
      </w:pPr>
    </w:p>
    <w:p w:rsidR="005D7843" w:rsidRPr="005D7843" w:rsidRDefault="005D7843" w:rsidP="005D7843">
      <w:pPr>
        <w:numPr>
          <w:ilvl w:val="0"/>
          <w:numId w:val="1"/>
        </w:numPr>
        <w:rPr>
          <w:rFonts w:ascii="Tahoma" w:eastAsia="Times New Roman" w:hAnsi="Tahoma" w:cs="Tahoma"/>
          <w:bCs/>
          <w:sz w:val="20"/>
          <w:szCs w:val="20"/>
          <w:lang w:val="en-US"/>
        </w:rPr>
      </w:pPr>
      <w:r w:rsidRPr="005D7843">
        <w:rPr>
          <w:rFonts w:ascii="Tahoma" w:eastAsia="Times New Roman" w:hAnsi="Tahoma" w:cs="Tahoma"/>
          <w:bCs/>
          <w:sz w:val="20"/>
          <w:szCs w:val="20"/>
          <w:lang w:val="en-US"/>
        </w:rPr>
        <w:t xml:space="preserve">Secure rights to land, property, and natural resources = [the same can be also reduced to “tenure security” without altering the meaning].    </w:t>
      </w:r>
    </w:p>
    <w:p w:rsidR="005D7843" w:rsidRPr="005D7843" w:rsidRDefault="005D7843" w:rsidP="005D7843">
      <w:pPr>
        <w:ind w:left="720"/>
        <w:contextualSpacing/>
        <w:rPr>
          <w:rFonts w:ascii="Tahoma" w:eastAsia="Times New Roman" w:hAnsi="Tahoma" w:cs="Tahoma"/>
          <w:bCs/>
          <w:sz w:val="20"/>
          <w:szCs w:val="20"/>
          <w:lang w:val="en-US"/>
        </w:rPr>
      </w:pPr>
    </w:p>
    <w:p w:rsidR="005D7843" w:rsidRPr="005D7843" w:rsidRDefault="005D7843" w:rsidP="005D7843">
      <w:pPr>
        <w:ind w:left="360"/>
        <w:rPr>
          <w:rFonts w:ascii="Tahoma" w:eastAsia="Times New Roman" w:hAnsi="Tahoma" w:cs="Tahoma"/>
          <w:bCs/>
          <w:sz w:val="20"/>
          <w:szCs w:val="20"/>
          <w:lang w:val="en-US"/>
        </w:rPr>
      </w:pPr>
      <w:r w:rsidRPr="005D7843">
        <w:rPr>
          <w:rFonts w:ascii="Tahoma" w:eastAsia="Times New Roman" w:hAnsi="Tahoma" w:cs="Tahoma"/>
          <w:bCs/>
          <w:sz w:val="20"/>
          <w:szCs w:val="20"/>
          <w:lang w:val="en-US"/>
        </w:rPr>
        <w:lastRenderedPageBreak/>
        <w:t xml:space="preserve">Rights = </w:t>
      </w:r>
      <w:r w:rsidRPr="005D7843">
        <w:rPr>
          <w:rFonts w:ascii="Tahoma" w:eastAsia="Times New Roman" w:hAnsi="Tahoma" w:cs="Tahoma"/>
          <w:bCs/>
          <w:sz w:val="20"/>
          <w:szCs w:val="20"/>
          <w:lang w:val="en-US"/>
        </w:rPr>
        <w:tab/>
        <w:t xml:space="preserve">It refers to any tenure right, including ownership, control, access, manage, use, and </w:t>
      </w:r>
      <w:r w:rsidRPr="005D7843">
        <w:rPr>
          <w:rFonts w:ascii="Tahoma" w:eastAsia="Times New Roman" w:hAnsi="Tahoma" w:cs="Tahoma"/>
          <w:bCs/>
          <w:sz w:val="20"/>
          <w:szCs w:val="20"/>
          <w:lang w:val="en-US"/>
        </w:rPr>
        <w:tab/>
      </w:r>
      <w:r w:rsidRPr="005D7843">
        <w:rPr>
          <w:rFonts w:ascii="Tahoma" w:eastAsia="Times New Roman" w:hAnsi="Tahoma" w:cs="Tahoma"/>
          <w:bCs/>
          <w:sz w:val="20"/>
          <w:szCs w:val="20"/>
          <w:lang w:val="en-US"/>
        </w:rPr>
        <w:tab/>
      </w:r>
      <w:r w:rsidRPr="005D7843">
        <w:rPr>
          <w:rFonts w:ascii="Tahoma" w:eastAsia="Times New Roman" w:hAnsi="Tahoma" w:cs="Tahoma"/>
          <w:bCs/>
          <w:sz w:val="20"/>
          <w:szCs w:val="20"/>
          <w:lang w:val="en-US"/>
        </w:rPr>
        <w:tab/>
        <w:t xml:space="preserve">applies to both individual tenure and collective tenure over common lands, according to </w:t>
      </w:r>
      <w:r w:rsidRPr="005D7843">
        <w:rPr>
          <w:rFonts w:ascii="Tahoma" w:eastAsia="Times New Roman" w:hAnsi="Tahoma" w:cs="Tahoma"/>
          <w:bCs/>
          <w:sz w:val="20"/>
          <w:szCs w:val="20"/>
          <w:lang w:val="en-US"/>
        </w:rPr>
        <w:tab/>
      </w:r>
      <w:r w:rsidRPr="005D7843">
        <w:rPr>
          <w:rFonts w:ascii="Tahoma" w:eastAsia="Times New Roman" w:hAnsi="Tahoma" w:cs="Tahoma"/>
          <w:bCs/>
          <w:sz w:val="20"/>
          <w:szCs w:val="20"/>
          <w:lang w:val="en-US"/>
        </w:rPr>
        <w:tab/>
      </w:r>
      <w:r w:rsidRPr="005D7843">
        <w:rPr>
          <w:rFonts w:ascii="Tahoma" w:eastAsia="Times New Roman" w:hAnsi="Tahoma" w:cs="Tahoma"/>
          <w:bCs/>
          <w:sz w:val="20"/>
          <w:szCs w:val="20"/>
          <w:lang w:val="en-US"/>
        </w:rPr>
        <w:tab/>
        <w:t>the VGGT.</w:t>
      </w:r>
    </w:p>
    <w:p w:rsidR="005D7843" w:rsidRPr="005D7843" w:rsidRDefault="005D7843" w:rsidP="005D7843">
      <w:pPr>
        <w:ind w:left="360"/>
        <w:rPr>
          <w:rFonts w:ascii="Tahoma" w:eastAsia="Times New Roman" w:hAnsi="Tahoma" w:cs="Tahoma"/>
          <w:bCs/>
          <w:sz w:val="20"/>
          <w:szCs w:val="20"/>
          <w:lang w:val="en-US"/>
        </w:rPr>
      </w:pPr>
    </w:p>
    <w:p w:rsidR="005D7843" w:rsidRPr="005D7843" w:rsidRDefault="005D7843" w:rsidP="005D7843">
      <w:pPr>
        <w:ind w:left="357"/>
        <w:rPr>
          <w:rFonts w:ascii="Tahoma" w:eastAsia="Calibri" w:hAnsi="Tahoma" w:cs="Tahoma"/>
          <w:color w:val="auto"/>
          <w:sz w:val="20"/>
          <w:szCs w:val="20"/>
          <w:lang w:val="en-US"/>
        </w:rPr>
      </w:pPr>
      <w:r w:rsidRPr="005D7843">
        <w:rPr>
          <w:rFonts w:ascii="Tahoma" w:eastAsia="Times New Roman" w:hAnsi="Tahoma" w:cs="Tahoma"/>
          <w:bCs/>
          <w:sz w:val="20"/>
          <w:szCs w:val="20"/>
          <w:lang w:val="en-US"/>
        </w:rPr>
        <w:t>Importantly, t</w:t>
      </w:r>
      <w:r w:rsidRPr="005D7843">
        <w:rPr>
          <w:rFonts w:ascii="Tahoma" w:eastAsia="Calibri" w:hAnsi="Tahoma" w:cs="Tahoma"/>
          <w:color w:val="auto"/>
          <w:sz w:val="20"/>
          <w:szCs w:val="20"/>
          <w:lang w:val="en-US"/>
        </w:rPr>
        <w:t>he indicator goes beyond ownership, to help guarantee and protect the rights of women, men and IPLCs who access land through a number of group or individually held tenure arrangements whose nature and prevalence can vary across the globe. Owning land may not be feasible in certain settings and may not be affordable for many. Commonly held land is important for ensuring proper management of natural resources and other public spaces. The indicator can also capture the tenure security of those whose claims are based on long-term contractual use rights, rental agreements, or community-managed resources.</w:t>
      </w:r>
    </w:p>
    <w:p w:rsidR="005D7843" w:rsidRPr="005D7843" w:rsidRDefault="005D7843" w:rsidP="005D7843">
      <w:pPr>
        <w:ind w:left="357"/>
        <w:rPr>
          <w:rFonts w:ascii="Tahoma" w:eastAsia="Times New Roman" w:hAnsi="Tahoma" w:cs="Tahoma"/>
          <w:bCs/>
          <w:sz w:val="20"/>
          <w:szCs w:val="20"/>
          <w:lang w:val="en-US"/>
        </w:rPr>
      </w:pPr>
    </w:p>
    <w:p w:rsidR="005D7843" w:rsidRPr="005D7843" w:rsidRDefault="005D7843" w:rsidP="005D7843">
      <w:pPr>
        <w:numPr>
          <w:ilvl w:val="0"/>
          <w:numId w:val="1"/>
        </w:numPr>
        <w:ind w:left="357"/>
        <w:rPr>
          <w:rFonts w:ascii="Tahoma" w:eastAsia="Calibri" w:hAnsi="Tahoma" w:cs="Tahoma"/>
          <w:color w:val="auto"/>
          <w:sz w:val="20"/>
          <w:szCs w:val="20"/>
          <w:lang w:val="en-US"/>
        </w:rPr>
      </w:pPr>
      <w:r w:rsidRPr="005D7843">
        <w:rPr>
          <w:rFonts w:ascii="Tahoma" w:eastAsia="Times New Roman" w:hAnsi="Tahoma" w:cs="Tahoma"/>
          <w:bCs/>
          <w:sz w:val="20"/>
          <w:szCs w:val="20"/>
          <w:lang w:val="en-US"/>
        </w:rPr>
        <w:t xml:space="preserve">Legally documented or recognized evidence of tenure = this </w:t>
      </w:r>
      <w:r w:rsidRPr="005D7843">
        <w:rPr>
          <w:rFonts w:ascii="Tahoma" w:eastAsia="Times New Roman" w:hAnsi="Tahoma" w:cs="Tahoma"/>
          <w:bCs/>
          <w:i/>
          <w:sz w:val="20"/>
          <w:szCs w:val="20"/>
          <w:lang w:val="en-US"/>
        </w:rPr>
        <w:t>formula</w:t>
      </w:r>
      <w:r w:rsidRPr="005D7843">
        <w:rPr>
          <w:rFonts w:ascii="Tahoma" w:eastAsia="Times New Roman" w:hAnsi="Tahoma" w:cs="Tahoma"/>
          <w:bCs/>
          <w:sz w:val="20"/>
          <w:szCs w:val="20"/>
          <w:lang w:val="en-US"/>
        </w:rPr>
        <w:t xml:space="preserve"> allows the different ways in which in each context tenure rights are documented (in line with the VGGT), particularly either in statutory or customary law, by focusing on the concept of security and not in the way it is reached (i.e. it goes from individual freehold, to user rights, to a title deed registered in the name of a local community)</w:t>
      </w:r>
    </w:p>
    <w:p w:rsidR="005D7843" w:rsidRPr="005D7843" w:rsidRDefault="005D7843" w:rsidP="005D7843">
      <w:pPr>
        <w:ind w:left="357"/>
        <w:rPr>
          <w:rFonts w:ascii="Tahoma" w:eastAsia="Calibri" w:hAnsi="Tahoma" w:cs="Tahoma"/>
          <w:color w:val="auto"/>
          <w:sz w:val="20"/>
          <w:szCs w:val="20"/>
          <w:lang w:val="en-US"/>
        </w:rPr>
      </w:pPr>
    </w:p>
    <w:p w:rsidR="005D7843" w:rsidRPr="005D7843" w:rsidRDefault="005D7843" w:rsidP="005D7843">
      <w:pPr>
        <w:numPr>
          <w:ilvl w:val="0"/>
          <w:numId w:val="1"/>
        </w:numPr>
        <w:ind w:left="357"/>
        <w:rPr>
          <w:rFonts w:ascii="Tahoma" w:eastAsia="Calibri" w:hAnsi="Tahoma" w:cs="Tahoma"/>
          <w:color w:val="auto"/>
          <w:sz w:val="20"/>
          <w:szCs w:val="20"/>
          <w:lang w:val="en-US"/>
        </w:rPr>
      </w:pPr>
      <w:r w:rsidRPr="005D7843">
        <w:rPr>
          <w:rFonts w:ascii="Tahoma" w:eastAsia="Times New Roman" w:hAnsi="Tahoma" w:cs="Tahoma"/>
          <w:bCs/>
          <w:sz w:val="20"/>
          <w:szCs w:val="20"/>
          <w:lang w:val="en-US"/>
        </w:rPr>
        <w:t xml:space="preserve">Perception = to be applied in line with international standards and well-established methodologies. </w:t>
      </w:r>
    </w:p>
    <w:p w:rsidR="005D7843" w:rsidRPr="005D7843" w:rsidRDefault="005D7843" w:rsidP="005D7843">
      <w:pPr>
        <w:ind w:left="720"/>
        <w:contextualSpacing/>
        <w:rPr>
          <w:rFonts w:ascii="Tahoma" w:eastAsia="Calibri" w:hAnsi="Tahoma" w:cs="Tahoma"/>
          <w:color w:val="auto"/>
          <w:sz w:val="20"/>
          <w:szCs w:val="20"/>
          <w:lang w:val="en-US"/>
        </w:rPr>
      </w:pPr>
    </w:p>
    <w:p w:rsidR="005D7843" w:rsidRPr="005D7843" w:rsidRDefault="005D7843" w:rsidP="005D7843">
      <w:pPr>
        <w:numPr>
          <w:ilvl w:val="0"/>
          <w:numId w:val="1"/>
        </w:numPr>
        <w:jc w:val="both"/>
        <w:rPr>
          <w:rFonts w:ascii="Tahoma" w:eastAsia="Times New Roman" w:hAnsi="Tahoma" w:cs="Tahoma"/>
          <w:bCs/>
          <w:sz w:val="20"/>
          <w:szCs w:val="20"/>
          <w:lang w:val="en-US"/>
        </w:rPr>
      </w:pPr>
      <w:r w:rsidRPr="005D7843">
        <w:rPr>
          <w:rFonts w:ascii="Tahoma" w:eastAsia="Times New Roman" w:hAnsi="Tahoma" w:cs="Tahoma"/>
          <w:bCs/>
          <w:sz w:val="20"/>
          <w:szCs w:val="20"/>
          <w:lang w:val="en-US"/>
        </w:rPr>
        <w:t xml:space="preserve">“Common lands and natural resources” = these are geographic entities with corresponding natural resources, that are commonly or collectively owned, or used, or managed by communities that share a societal, ethnic, geographic, or administrative identity. These can be statutory (legal and formally defined) or customary. They can be held by local communities, or indigenous peoples. The term also includes land that is privately held but that is collectively managed (through certain customary and traditional systems, or through agreements between a </w:t>
      </w:r>
      <w:proofErr w:type="gramStart"/>
      <w:r w:rsidRPr="005D7843">
        <w:rPr>
          <w:rFonts w:ascii="Tahoma" w:eastAsia="Times New Roman" w:hAnsi="Tahoma" w:cs="Tahoma"/>
          <w:bCs/>
          <w:sz w:val="20"/>
          <w:szCs w:val="20"/>
          <w:lang w:val="en-US"/>
        </w:rPr>
        <w:t>community</w:t>
      </w:r>
      <w:proofErr w:type="gramEnd"/>
      <w:r w:rsidRPr="005D7843">
        <w:rPr>
          <w:rFonts w:ascii="Tahoma" w:eastAsia="Times New Roman" w:hAnsi="Tahoma" w:cs="Tahoma"/>
          <w:bCs/>
          <w:sz w:val="20"/>
          <w:szCs w:val="20"/>
          <w:lang w:val="en-US"/>
        </w:rPr>
        <w:t xml:space="preserve"> of owners). For the purpose of this indicator, this definition does NOT include the term “commons” which in some States is associated with publicly-owned (government owned) lands. In reference to “common lands” held by indigenous peoples, this refers to their collective right to lands, territories and resources as defined and recognized by the UN Declaration on the Rights of Indigenous Peoples (UNDRIP). The term “common” land and natural resources is consistent with definitions used by CAPRI (common property), ILC (community land rights), and others. </w:t>
      </w:r>
    </w:p>
    <w:p w:rsidR="005D7843" w:rsidRPr="005D7843" w:rsidRDefault="005D7843" w:rsidP="005D7843">
      <w:pPr>
        <w:jc w:val="both"/>
        <w:rPr>
          <w:rFonts w:ascii="Tahoma" w:eastAsia="Times New Roman" w:hAnsi="Tahoma" w:cs="Tahoma"/>
          <w:bCs/>
          <w:sz w:val="20"/>
          <w:szCs w:val="20"/>
          <w:lang w:val="en-US"/>
        </w:rPr>
      </w:pPr>
    </w:p>
    <w:p w:rsidR="005D7843" w:rsidRPr="005D7843" w:rsidRDefault="005D7843" w:rsidP="005D7843">
      <w:pPr>
        <w:ind w:left="360"/>
        <w:jc w:val="both"/>
        <w:rPr>
          <w:rFonts w:ascii="Tahoma" w:eastAsia="Times New Roman" w:hAnsi="Tahoma" w:cs="Tahoma"/>
          <w:bCs/>
          <w:sz w:val="20"/>
          <w:szCs w:val="20"/>
          <w:lang w:val="en-US"/>
        </w:rPr>
      </w:pPr>
      <w:r w:rsidRPr="005D7843">
        <w:rPr>
          <w:rFonts w:ascii="Tahoma" w:eastAsia="Times New Roman" w:hAnsi="Tahoma" w:cs="Tahoma"/>
          <w:bCs/>
          <w:sz w:val="20"/>
          <w:szCs w:val="20"/>
          <w:lang w:val="en-US"/>
        </w:rPr>
        <w:t xml:space="preserve">Many States have a legal obligation to recognize to respect and </w:t>
      </w:r>
      <w:proofErr w:type="spellStart"/>
      <w:r w:rsidRPr="005D7843">
        <w:rPr>
          <w:rFonts w:ascii="Tahoma" w:eastAsia="Times New Roman" w:hAnsi="Tahoma" w:cs="Tahoma"/>
          <w:bCs/>
          <w:sz w:val="20"/>
          <w:szCs w:val="20"/>
          <w:lang w:val="en-US"/>
        </w:rPr>
        <w:t>recognise</w:t>
      </w:r>
      <w:proofErr w:type="spellEnd"/>
      <w:r w:rsidRPr="005D7843">
        <w:rPr>
          <w:rFonts w:ascii="Tahoma" w:eastAsia="Times New Roman" w:hAnsi="Tahoma" w:cs="Tahoma"/>
          <w:bCs/>
          <w:sz w:val="20"/>
          <w:szCs w:val="20"/>
          <w:lang w:val="en-US"/>
        </w:rPr>
        <w:t xml:space="preserve"> customary land tenure, or customary rights to lands, territories and resources. However, the term "customary" tenure can refer to both common lands/common natural resources, and individual ownership. GLII is working to encourage all States to legally recognize customary tenure. In complement to these efforts, specific attention needs to be paid also to the legal recognition of “commonly-held and managed land and natural resources” as these require different and new legal definitions and challenges to capture complex arrangements such as flexible use rights. </w:t>
      </w:r>
    </w:p>
    <w:p w:rsidR="005D7843" w:rsidRPr="005D7843" w:rsidRDefault="005D7843" w:rsidP="005D7843">
      <w:pPr>
        <w:jc w:val="both"/>
        <w:rPr>
          <w:rFonts w:ascii="Tahoma" w:eastAsia="Times New Roman" w:hAnsi="Tahoma" w:cs="Tahoma"/>
          <w:bCs/>
          <w:sz w:val="20"/>
          <w:szCs w:val="20"/>
          <w:lang w:val="en-US"/>
        </w:rPr>
      </w:pPr>
    </w:p>
    <w:p w:rsidR="005D7843" w:rsidRPr="005D7843" w:rsidRDefault="005D7843" w:rsidP="005D7843">
      <w:pPr>
        <w:rPr>
          <w:rFonts w:ascii="Tahoma" w:eastAsia="Times New Roman" w:hAnsi="Tahoma" w:cs="Tahoma"/>
          <w:b/>
          <w:bCs/>
          <w:sz w:val="20"/>
          <w:szCs w:val="20"/>
          <w:lang w:val="en-US"/>
        </w:rPr>
      </w:pPr>
    </w:p>
    <w:p w:rsidR="005D7843" w:rsidRPr="005D7843" w:rsidRDefault="005D7843" w:rsidP="005D7843">
      <w:pPr>
        <w:numPr>
          <w:ilvl w:val="0"/>
          <w:numId w:val="5"/>
        </w:numPr>
        <w:rPr>
          <w:rFonts w:ascii="Tahoma" w:eastAsia="Times New Roman" w:hAnsi="Tahoma" w:cs="Tahoma"/>
          <w:b/>
          <w:sz w:val="20"/>
          <w:szCs w:val="20"/>
          <w:lang w:val="en-US"/>
        </w:rPr>
      </w:pPr>
      <w:r w:rsidRPr="005D7843">
        <w:rPr>
          <w:rFonts w:ascii="Tahoma" w:eastAsia="Times New Roman" w:hAnsi="Tahoma" w:cs="Tahoma"/>
          <w:b/>
          <w:sz w:val="20"/>
          <w:szCs w:val="20"/>
          <w:lang w:val="en-US"/>
        </w:rPr>
        <w:t xml:space="preserve">Method of computation </w:t>
      </w:r>
    </w:p>
    <w:p w:rsidR="005D7843" w:rsidRPr="005D7843" w:rsidRDefault="005D7843" w:rsidP="005D7843">
      <w:pPr>
        <w:rPr>
          <w:rFonts w:ascii="Tahoma" w:eastAsia="Times New Roman" w:hAnsi="Tahoma" w:cs="Tahoma"/>
          <w:sz w:val="20"/>
          <w:szCs w:val="20"/>
          <w:lang w:val="en-US"/>
        </w:rPr>
      </w:pPr>
    </w:p>
    <w:p w:rsidR="005D7843" w:rsidRPr="005D7843" w:rsidRDefault="005D7843" w:rsidP="005D7843">
      <w:pPr>
        <w:rPr>
          <w:rFonts w:ascii="Tahoma" w:eastAsia="Times New Roman" w:hAnsi="Tahoma" w:cs="Tahoma"/>
          <w:sz w:val="20"/>
          <w:szCs w:val="20"/>
          <w:lang w:val="en-US"/>
        </w:rPr>
      </w:pPr>
      <w:r w:rsidRPr="005D7843">
        <w:rPr>
          <w:rFonts w:ascii="Tahoma" w:eastAsia="Times New Roman" w:hAnsi="Tahoma" w:cs="Tahoma"/>
          <w:sz w:val="20"/>
          <w:szCs w:val="20"/>
          <w:lang w:val="en-US"/>
        </w:rPr>
        <w:t xml:space="preserve">The proposed (new) indicator is essentially divided in 2 sub-indicators, with disaggregation by sex, and individual/group subject of rights. This is to reflect how tenure rights are recorded in most of the countries. </w:t>
      </w:r>
    </w:p>
    <w:p w:rsidR="005D7843" w:rsidRPr="005D7843" w:rsidRDefault="005D7843" w:rsidP="005D7843">
      <w:pPr>
        <w:rPr>
          <w:rFonts w:ascii="Tahoma" w:eastAsia="Times New Roman" w:hAnsi="Tahoma" w:cs="Tahoma"/>
          <w:sz w:val="20"/>
          <w:szCs w:val="20"/>
          <w:lang w:val="en-US"/>
        </w:rPr>
      </w:pPr>
    </w:p>
    <w:p w:rsidR="005D7843" w:rsidRPr="005D7843" w:rsidRDefault="005D7843" w:rsidP="005D7843">
      <w:pPr>
        <w:rPr>
          <w:rFonts w:ascii="Tahoma" w:eastAsia="Times New Roman" w:hAnsi="Tahoma" w:cs="Tahoma"/>
          <w:i/>
          <w:sz w:val="20"/>
          <w:szCs w:val="20"/>
          <w:lang w:val="en-US"/>
        </w:rPr>
      </w:pPr>
      <w:r w:rsidRPr="005D7843">
        <w:rPr>
          <w:rFonts w:ascii="Tahoma" w:eastAsia="Times New Roman" w:hAnsi="Tahoma" w:cs="Tahoma"/>
          <w:sz w:val="20"/>
          <w:szCs w:val="20"/>
          <w:lang w:val="en-US"/>
        </w:rPr>
        <w:t xml:space="preserve">Sub-indicator: </w:t>
      </w:r>
      <w:r w:rsidRPr="005D7843">
        <w:rPr>
          <w:rFonts w:ascii="Tahoma" w:eastAsia="Times New Roman" w:hAnsi="Tahoma" w:cs="Tahoma"/>
          <w:sz w:val="20"/>
          <w:szCs w:val="20"/>
          <w:lang w:val="en-US"/>
        </w:rPr>
        <w:tab/>
        <w:t xml:space="preserve">a) </w:t>
      </w:r>
      <w:r w:rsidRPr="005D7843">
        <w:rPr>
          <w:rFonts w:ascii="Tahoma" w:eastAsia="Times New Roman" w:hAnsi="Tahoma" w:cs="Tahoma"/>
          <w:i/>
          <w:sz w:val="20"/>
          <w:szCs w:val="20"/>
          <w:lang w:val="en-US"/>
        </w:rPr>
        <w:t>percentage with legally documented or recognized evidence of tenure.</w:t>
      </w:r>
    </w:p>
    <w:p w:rsidR="005D7843" w:rsidRPr="005D7843" w:rsidRDefault="005D7843" w:rsidP="005D7843">
      <w:pPr>
        <w:rPr>
          <w:rFonts w:ascii="Tahoma" w:eastAsia="Times New Roman" w:hAnsi="Tahoma" w:cs="Tahoma"/>
          <w:i/>
          <w:sz w:val="20"/>
          <w:szCs w:val="20"/>
          <w:lang w:val="en-US"/>
        </w:rPr>
      </w:pPr>
    </w:p>
    <w:p w:rsidR="005D7843" w:rsidRPr="005D7843" w:rsidRDefault="005D7843" w:rsidP="005D7843">
      <w:pPr>
        <w:numPr>
          <w:ilvl w:val="0"/>
          <w:numId w:val="3"/>
        </w:numPr>
        <w:rPr>
          <w:rFonts w:ascii="Tahoma" w:eastAsia="Times New Roman" w:hAnsi="Tahoma" w:cs="Tahoma"/>
          <w:sz w:val="20"/>
          <w:szCs w:val="20"/>
          <w:lang w:val="en-US"/>
        </w:rPr>
      </w:pPr>
      <w:r w:rsidRPr="005D7843">
        <w:rPr>
          <w:rFonts w:ascii="Tahoma" w:eastAsia="Times New Roman" w:hAnsi="Tahoma" w:cs="Tahoma"/>
          <w:sz w:val="20"/>
          <w:szCs w:val="20"/>
          <w:lang w:val="en-US"/>
        </w:rPr>
        <w:t xml:space="preserve">(Number of women with legally documented or recognized evidence of tenure / Number of women in the country) x 100. </w:t>
      </w:r>
    </w:p>
    <w:p w:rsidR="005D7843" w:rsidRPr="005D7843" w:rsidRDefault="005D7843" w:rsidP="005D7843">
      <w:pPr>
        <w:numPr>
          <w:ilvl w:val="0"/>
          <w:numId w:val="3"/>
        </w:numPr>
        <w:rPr>
          <w:rFonts w:ascii="Tahoma" w:eastAsia="Times New Roman" w:hAnsi="Tahoma" w:cs="Tahoma"/>
          <w:sz w:val="20"/>
          <w:szCs w:val="20"/>
          <w:lang w:val="en-US"/>
        </w:rPr>
      </w:pPr>
      <w:r w:rsidRPr="005D7843">
        <w:rPr>
          <w:rFonts w:ascii="Tahoma" w:eastAsia="Times New Roman" w:hAnsi="Tahoma" w:cs="Tahoma"/>
          <w:sz w:val="20"/>
          <w:szCs w:val="20"/>
          <w:lang w:val="en-US"/>
        </w:rPr>
        <w:t>(Number of men with legally documented or recognized evidence of tenure / Number of men in the country) x 100.</w:t>
      </w:r>
    </w:p>
    <w:p w:rsidR="005D7843" w:rsidRPr="005D7843" w:rsidRDefault="005D7843" w:rsidP="005D7843">
      <w:pPr>
        <w:numPr>
          <w:ilvl w:val="0"/>
          <w:numId w:val="3"/>
        </w:numPr>
        <w:rPr>
          <w:rFonts w:ascii="Tahoma" w:eastAsia="Times New Roman" w:hAnsi="Tahoma" w:cs="Tahoma"/>
          <w:sz w:val="20"/>
          <w:szCs w:val="20"/>
          <w:lang w:val="en-US"/>
        </w:rPr>
      </w:pPr>
      <w:r w:rsidRPr="005D7843">
        <w:rPr>
          <w:rFonts w:ascii="Tahoma" w:eastAsia="Times New Roman" w:hAnsi="Tahoma" w:cs="Tahoma"/>
          <w:sz w:val="20"/>
          <w:szCs w:val="20"/>
          <w:lang w:val="en-US"/>
        </w:rPr>
        <w:lastRenderedPageBreak/>
        <w:t xml:space="preserve">(Number of indigenous peoples with legally documented evidence of tenure of individual or communal land / Number of indigenous peoples in the country) x 100. </w:t>
      </w:r>
    </w:p>
    <w:p w:rsidR="005D7843" w:rsidRPr="005D7843" w:rsidRDefault="005D7843" w:rsidP="005D7843">
      <w:pPr>
        <w:numPr>
          <w:ilvl w:val="0"/>
          <w:numId w:val="3"/>
        </w:numPr>
        <w:rPr>
          <w:rFonts w:ascii="Tahoma" w:eastAsia="Times New Roman" w:hAnsi="Tahoma" w:cs="Tahoma"/>
          <w:sz w:val="20"/>
          <w:szCs w:val="20"/>
          <w:lang w:val="en-US"/>
        </w:rPr>
      </w:pPr>
      <w:r w:rsidRPr="005D7843">
        <w:rPr>
          <w:rFonts w:ascii="Tahoma" w:eastAsia="Times New Roman" w:hAnsi="Tahoma" w:cs="Tahoma"/>
          <w:sz w:val="20"/>
          <w:szCs w:val="20"/>
          <w:lang w:val="en-US"/>
        </w:rPr>
        <w:t xml:space="preserve">(Number local communities with legally documented evidence of tenure of common lands and natural resources / Number of local communities in the country) x 100. </w:t>
      </w:r>
    </w:p>
    <w:p w:rsidR="005D7843" w:rsidRPr="005D7843" w:rsidRDefault="005D7843" w:rsidP="005D7843">
      <w:pPr>
        <w:ind w:left="360"/>
        <w:rPr>
          <w:rFonts w:ascii="Tahoma" w:eastAsia="Times New Roman" w:hAnsi="Tahoma" w:cs="Tahoma"/>
          <w:sz w:val="20"/>
          <w:szCs w:val="20"/>
          <w:lang w:val="en-US"/>
        </w:rPr>
      </w:pPr>
    </w:p>
    <w:p w:rsidR="005D7843" w:rsidRPr="005D7843" w:rsidRDefault="005D7843" w:rsidP="005D7843">
      <w:pPr>
        <w:rPr>
          <w:rFonts w:ascii="Tahoma" w:eastAsia="Times New Roman" w:hAnsi="Tahoma" w:cs="Tahoma"/>
          <w:i/>
          <w:sz w:val="20"/>
          <w:szCs w:val="20"/>
          <w:lang w:val="en-US"/>
        </w:rPr>
      </w:pPr>
    </w:p>
    <w:p w:rsidR="005D7843" w:rsidRPr="005D7843" w:rsidRDefault="005D7843" w:rsidP="005D7843">
      <w:pPr>
        <w:rPr>
          <w:rFonts w:ascii="Tahoma" w:eastAsia="Times New Roman" w:hAnsi="Tahoma" w:cs="Tahoma"/>
          <w:sz w:val="20"/>
          <w:szCs w:val="20"/>
          <w:lang w:val="en-US"/>
        </w:rPr>
      </w:pPr>
      <w:r w:rsidRPr="005D7843">
        <w:rPr>
          <w:rFonts w:ascii="Tahoma" w:eastAsia="Times New Roman" w:hAnsi="Tahoma" w:cs="Tahoma"/>
          <w:sz w:val="20"/>
          <w:szCs w:val="20"/>
          <w:lang w:val="en-US"/>
        </w:rPr>
        <w:t xml:space="preserve">As such, the indicator captures both individual tenure and group tenure. Indicator 1 and 2 are mutually exclusive and cover the entire population. Indicators 3 and 4 measure another subject of right (indigenous peoples and local community), and another kind of rights (i.e. group). </w:t>
      </w:r>
    </w:p>
    <w:p w:rsidR="005D7843" w:rsidRPr="005D7843" w:rsidRDefault="005D7843" w:rsidP="005D7843">
      <w:pPr>
        <w:rPr>
          <w:rFonts w:ascii="Tahoma" w:eastAsia="Times New Roman" w:hAnsi="Tahoma" w:cs="Tahoma"/>
          <w:sz w:val="20"/>
          <w:szCs w:val="20"/>
          <w:lang w:val="en-US"/>
        </w:rPr>
      </w:pPr>
    </w:p>
    <w:p w:rsidR="005D7843" w:rsidRPr="005D7843" w:rsidRDefault="005D7843" w:rsidP="005D7843">
      <w:pPr>
        <w:rPr>
          <w:rFonts w:ascii="Tahoma" w:eastAsia="Times New Roman" w:hAnsi="Tahoma" w:cs="Tahoma"/>
          <w:i/>
          <w:sz w:val="20"/>
          <w:szCs w:val="20"/>
          <w:lang w:val="en-US"/>
        </w:rPr>
      </w:pPr>
      <w:r w:rsidRPr="005D7843">
        <w:rPr>
          <w:rFonts w:ascii="Tahoma" w:eastAsia="Times New Roman" w:hAnsi="Tahoma" w:cs="Tahoma"/>
          <w:sz w:val="20"/>
          <w:szCs w:val="20"/>
          <w:lang w:val="en-US"/>
        </w:rPr>
        <w:t>Sub-indicator:</w:t>
      </w:r>
      <w:r w:rsidRPr="005D7843">
        <w:rPr>
          <w:rFonts w:ascii="Tahoma" w:eastAsia="Times New Roman" w:hAnsi="Tahoma" w:cs="Tahoma"/>
          <w:i/>
          <w:sz w:val="20"/>
          <w:szCs w:val="20"/>
          <w:lang w:val="en-US"/>
        </w:rPr>
        <w:t xml:space="preserve"> b) percentage who perceive their rights are recognized and protected </w:t>
      </w:r>
    </w:p>
    <w:p w:rsidR="005D7843" w:rsidRPr="005D7843" w:rsidRDefault="005D7843" w:rsidP="005D7843">
      <w:pPr>
        <w:rPr>
          <w:rFonts w:ascii="Tahoma" w:eastAsia="Times New Roman" w:hAnsi="Tahoma" w:cs="Tahoma"/>
          <w:i/>
          <w:sz w:val="20"/>
          <w:szCs w:val="20"/>
          <w:lang w:val="en-US"/>
        </w:rPr>
      </w:pPr>
    </w:p>
    <w:p w:rsidR="005D7843" w:rsidRPr="005D7843" w:rsidRDefault="005D7843" w:rsidP="005D7843">
      <w:pPr>
        <w:numPr>
          <w:ilvl w:val="0"/>
          <w:numId w:val="4"/>
        </w:numPr>
        <w:rPr>
          <w:rFonts w:ascii="Tahoma" w:eastAsia="Times New Roman" w:hAnsi="Tahoma" w:cs="Tahoma"/>
          <w:sz w:val="20"/>
          <w:szCs w:val="20"/>
          <w:lang w:val="en-US"/>
        </w:rPr>
      </w:pPr>
      <w:r w:rsidRPr="005D7843">
        <w:rPr>
          <w:rFonts w:ascii="Tahoma" w:eastAsia="Times New Roman" w:hAnsi="Tahoma" w:cs="Tahoma"/>
          <w:sz w:val="20"/>
          <w:szCs w:val="20"/>
          <w:lang w:val="en-US"/>
        </w:rPr>
        <w:t xml:space="preserve">(Number of women who perceive their rights are recognized and protected / number of women in the country) x 100. </w:t>
      </w:r>
    </w:p>
    <w:p w:rsidR="005D7843" w:rsidRPr="005D7843" w:rsidRDefault="005D7843" w:rsidP="005D7843">
      <w:pPr>
        <w:numPr>
          <w:ilvl w:val="0"/>
          <w:numId w:val="4"/>
        </w:numPr>
        <w:rPr>
          <w:rFonts w:ascii="Tahoma" w:eastAsia="Times New Roman" w:hAnsi="Tahoma" w:cs="Tahoma"/>
          <w:sz w:val="20"/>
          <w:szCs w:val="20"/>
          <w:lang w:val="en-US"/>
        </w:rPr>
      </w:pPr>
      <w:r w:rsidRPr="005D7843">
        <w:rPr>
          <w:rFonts w:ascii="Tahoma" w:eastAsia="Times New Roman" w:hAnsi="Tahoma" w:cs="Tahoma"/>
          <w:sz w:val="20"/>
          <w:szCs w:val="20"/>
          <w:lang w:val="en-US"/>
        </w:rPr>
        <w:t xml:space="preserve">(Number of men who perceive their rights are recognized and protected / number of men in the country). </w:t>
      </w:r>
    </w:p>
    <w:p w:rsidR="005D7843" w:rsidRPr="005D7843" w:rsidRDefault="005D7843" w:rsidP="005D7843">
      <w:pPr>
        <w:rPr>
          <w:rFonts w:ascii="Tahoma" w:eastAsia="Times New Roman" w:hAnsi="Tahoma" w:cs="Tahoma"/>
          <w:sz w:val="20"/>
          <w:szCs w:val="20"/>
          <w:lang w:val="en-US"/>
        </w:rPr>
      </w:pPr>
    </w:p>
    <w:p w:rsidR="005D7843" w:rsidRPr="005D7843" w:rsidRDefault="005D7843" w:rsidP="005D7843">
      <w:pPr>
        <w:rPr>
          <w:rFonts w:ascii="Tahoma" w:eastAsia="Times New Roman" w:hAnsi="Tahoma" w:cs="Tahoma"/>
          <w:sz w:val="20"/>
          <w:szCs w:val="20"/>
          <w:lang w:val="en-US"/>
        </w:rPr>
      </w:pPr>
      <w:r w:rsidRPr="005D7843">
        <w:rPr>
          <w:rFonts w:ascii="Tahoma" w:eastAsia="Times New Roman" w:hAnsi="Tahoma" w:cs="Tahoma"/>
          <w:sz w:val="20"/>
          <w:szCs w:val="20"/>
          <w:lang w:val="en-US"/>
        </w:rPr>
        <w:t xml:space="preserve">Perception indicators are essentially individual indicators. It is recommended an aggregation where appropriate at the indigenous peoples and local community level. This would be greatly helpful in assessing the perception of tenure security for sub-groups that enjoy a right within the wider group right (e.g. youth; women; races and castes; or people living in different locations). </w:t>
      </w:r>
    </w:p>
    <w:p w:rsidR="005D7843" w:rsidRPr="005D7843" w:rsidRDefault="005D7843" w:rsidP="005D7843">
      <w:pPr>
        <w:rPr>
          <w:rFonts w:ascii="Tahoma" w:eastAsia="Times New Roman" w:hAnsi="Tahoma" w:cs="Tahoma"/>
          <w:sz w:val="20"/>
          <w:szCs w:val="20"/>
          <w:lang w:val="en-US"/>
        </w:rPr>
      </w:pPr>
    </w:p>
    <w:p w:rsidR="005D7843" w:rsidRPr="005D7843" w:rsidRDefault="005D7843" w:rsidP="005D7843">
      <w:pPr>
        <w:rPr>
          <w:rFonts w:ascii="Tahoma" w:eastAsia="Times New Roman" w:hAnsi="Tahoma" w:cs="Tahoma"/>
          <w:sz w:val="20"/>
          <w:szCs w:val="20"/>
          <w:lang w:val="en-US"/>
        </w:rPr>
      </w:pPr>
    </w:p>
    <w:p w:rsidR="005D7843" w:rsidRPr="005D7843" w:rsidRDefault="005D7843" w:rsidP="005D7843">
      <w:pPr>
        <w:numPr>
          <w:ilvl w:val="0"/>
          <w:numId w:val="6"/>
        </w:numPr>
        <w:rPr>
          <w:rFonts w:ascii="Tahoma" w:eastAsia="Times New Roman" w:hAnsi="Tahoma" w:cs="Tahoma"/>
          <w:sz w:val="20"/>
          <w:szCs w:val="20"/>
          <w:lang w:val="en-US"/>
        </w:rPr>
      </w:pPr>
      <w:r w:rsidRPr="005D7843">
        <w:rPr>
          <w:rFonts w:ascii="Tahoma" w:eastAsia="Times New Roman" w:hAnsi="Tahoma" w:cs="Tahoma"/>
          <w:b/>
          <w:bCs/>
          <w:sz w:val="20"/>
          <w:szCs w:val="20"/>
          <w:lang w:val="en-US"/>
        </w:rPr>
        <w:t>Rationale and interpretation</w:t>
      </w:r>
    </w:p>
    <w:p w:rsidR="005D7843" w:rsidRPr="005D7843" w:rsidRDefault="005D7843" w:rsidP="005D7843">
      <w:pPr>
        <w:spacing w:line="120" w:lineRule="atLeast"/>
        <w:rPr>
          <w:rFonts w:ascii="Tahoma" w:eastAsia="Calibri" w:hAnsi="Tahoma" w:cs="Tahoma"/>
          <w:color w:val="auto"/>
          <w:sz w:val="20"/>
          <w:szCs w:val="20"/>
          <w:lang w:val="en-US"/>
        </w:rPr>
      </w:pPr>
    </w:p>
    <w:p w:rsidR="005D7843" w:rsidRPr="005D7843" w:rsidRDefault="005D7843" w:rsidP="005D7843">
      <w:pPr>
        <w:spacing w:line="120" w:lineRule="atLeast"/>
        <w:rPr>
          <w:rFonts w:ascii="Tahoma" w:eastAsia="Calibri" w:hAnsi="Tahoma" w:cs="Tahoma"/>
          <w:color w:val="auto"/>
          <w:sz w:val="20"/>
          <w:szCs w:val="20"/>
          <w:lang w:val="en-US"/>
        </w:rPr>
      </w:pPr>
      <w:r w:rsidRPr="005D7843">
        <w:rPr>
          <w:rFonts w:ascii="Tahoma" w:eastAsia="Calibri" w:hAnsi="Tahoma" w:cs="Tahoma"/>
          <w:color w:val="auto"/>
          <w:sz w:val="20"/>
          <w:szCs w:val="20"/>
          <w:lang w:val="en-US"/>
        </w:rPr>
        <w:t xml:space="preserve">This indicator is consistent with the one currently proposed for target 1.4. </w:t>
      </w:r>
      <w:proofErr w:type="gramStart"/>
      <w:r w:rsidRPr="005D7843">
        <w:rPr>
          <w:rFonts w:ascii="Tahoma" w:eastAsia="Calibri" w:hAnsi="Tahoma" w:cs="Tahoma"/>
          <w:color w:val="auto"/>
          <w:sz w:val="20"/>
          <w:szCs w:val="20"/>
          <w:lang w:val="en-US"/>
        </w:rPr>
        <w:t>and</w:t>
      </w:r>
      <w:proofErr w:type="gramEnd"/>
      <w:r w:rsidRPr="005D7843">
        <w:rPr>
          <w:rFonts w:ascii="Tahoma" w:eastAsia="Calibri" w:hAnsi="Tahoma" w:cs="Tahoma"/>
          <w:color w:val="auto"/>
          <w:sz w:val="20"/>
          <w:szCs w:val="20"/>
          <w:lang w:val="en-US"/>
        </w:rPr>
        <w:t xml:space="preserve"> does not change the meaning of the Target. It has the following adjustments:</w:t>
      </w:r>
    </w:p>
    <w:p w:rsidR="005D7843" w:rsidRPr="005D7843" w:rsidRDefault="005D7843" w:rsidP="005D7843">
      <w:pPr>
        <w:spacing w:line="120" w:lineRule="atLeast"/>
        <w:rPr>
          <w:rFonts w:ascii="Tahoma" w:eastAsia="Calibri" w:hAnsi="Tahoma" w:cs="Tahoma"/>
          <w:color w:val="auto"/>
          <w:sz w:val="20"/>
          <w:szCs w:val="20"/>
          <w:lang w:val="en-US"/>
        </w:rPr>
      </w:pPr>
    </w:p>
    <w:p w:rsidR="005D7843" w:rsidRPr="005D7843" w:rsidRDefault="005D7843" w:rsidP="005D7843">
      <w:pPr>
        <w:numPr>
          <w:ilvl w:val="0"/>
          <w:numId w:val="7"/>
        </w:numPr>
        <w:spacing w:line="120" w:lineRule="atLeast"/>
        <w:rPr>
          <w:rFonts w:ascii="Tahoma" w:eastAsia="Calibri" w:hAnsi="Tahoma" w:cs="Tahoma"/>
          <w:color w:val="auto"/>
          <w:sz w:val="20"/>
          <w:szCs w:val="20"/>
          <w:lang w:val="en-US"/>
        </w:rPr>
      </w:pPr>
      <w:r w:rsidRPr="005D7843">
        <w:rPr>
          <w:rFonts w:ascii="Tahoma" w:eastAsia="Calibri" w:hAnsi="Tahoma" w:cs="Tahoma"/>
          <w:color w:val="auto"/>
          <w:sz w:val="20"/>
          <w:szCs w:val="20"/>
          <w:lang w:val="en-US"/>
        </w:rPr>
        <w:t>In line with the Voluntary Guidelines on the Responsible Governance of Tenure, it includes indigenous peoples and local communities. In that it is more language used in Target 2.3. These are legally recognized communities that encompass a large number of the people’s poor and manage a large part of the world’s land, particularly commonly held land that is crucial for biodiversity, like forests, rangelands, and wetlands, under group tenure.</w:t>
      </w:r>
    </w:p>
    <w:p w:rsidR="005D7843" w:rsidRPr="005D7843" w:rsidRDefault="005D7843" w:rsidP="005D7843">
      <w:pPr>
        <w:numPr>
          <w:ilvl w:val="0"/>
          <w:numId w:val="7"/>
        </w:numPr>
        <w:spacing w:line="120" w:lineRule="atLeast"/>
        <w:rPr>
          <w:rFonts w:ascii="Tahoma" w:eastAsia="Calibri" w:hAnsi="Tahoma" w:cs="Tahoma"/>
          <w:color w:val="auto"/>
          <w:sz w:val="20"/>
          <w:szCs w:val="20"/>
          <w:lang w:val="en-US"/>
        </w:rPr>
      </w:pPr>
      <w:r w:rsidRPr="005D7843">
        <w:rPr>
          <w:rFonts w:ascii="Tahoma" w:eastAsia="Calibri" w:hAnsi="Tahoma" w:cs="Tahoma"/>
          <w:color w:val="auto"/>
          <w:sz w:val="20"/>
          <w:szCs w:val="20"/>
          <w:lang w:val="en-US"/>
        </w:rPr>
        <w:t xml:space="preserve">Because the indicator covers a range of tenure arrangements that includes ownership, and can be disaggregated by type of tenure, this indicator eliminates the need for the one currently proposed for target 5.a. </w:t>
      </w:r>
    </w:p>
    <w:p w:rsidR="005D7843" w:rsidRPr="005D7843" w:rsidRDefault="005D7843" w:rsidP="005D7843">
      <w:pPr>
        <w:rPr>
          <w:rFonts w:ascii="Tahoma" w:eastAsia="Times New Roman" w:hAnsi="Tahoma" w:cs="Tahoma"/>
          <w:b/>
          <w:bCs/>
          <w:sz w:val="20"/>
          <w:szCs w:val="20"/>
          <w:lang w:val="en-US"/>
        </w:rPr>
      </w:pPr>
    </w:p>
    <w:p w:rsidR="005D7843" w:rsidRPr="005D7843" w:rsidRDefault="005D7843" w:rsidP="005D7843">
      <w:pPr>
        <w:rPr>
          <w:rFonts w:ascii="Tahoma" w:eastAsia="Times New Roman" w:hAnsi="Tahoma" w:cs="Tahoma"/>
          <w:bCs/>
          <w:sz w:val="20"/>
          <w:szCs w:val="20"/>
          <w:lang w:val="en-US"/>
        </w:rPr>
      </w:pPr>
      <w:r w:rsidRPr="005D7843">
        <w:rPr>
          <w:rFonts w:ascii="Tahoma" w:eastAsia="Times New Roman" w:hAnsi="Tahoma" w:cs="Tahoma"/>
          <w:b/>
          <w:bCs/>
          <w:sz w:val="20"/>
          <w:szCs w:val="20"/>
          <w:u w:val="single"/>
          <w:lang w:val="en-US"/>
        </w:rPr>
        <w:t>As such, the indicator better responds to the level of ambition agreed in targets 1.4, 2.3 and 5.a</w:t>
      </w:r>
      <w:r w:rsidRPr="005D7843">
        <w:rPr>
          <w:rFonts w:ascii="Tahoma" w:eastAsia="Times New Roman" w:hAnsi="Tahoma" w:cs="Tahoma"/>
          <w:bCs/>
          <w:sz w:val="20"/>
          <w:szCs w:val="20"/>
          <w:lang w:val="en-US"/>
        </w:rPr>
        <w:t xml:space="preserve">. </w:t>
      </w:r>
    </w:p>
    <w:p w:rsidR="005D7843" w:rsidRPr="005D7843" w:rsidRDefault="005D7843" w:rsidP="005D7843">
      <w:pPr>
        <w:rPr>
          <w:rFonts w:ascii="Tahoma" w:eastAsia="Times New Roman" w:hAnsi="Tahoma" w:cs="Tahoma"/>
          <w:b/>
          <w:bCs/>
          <w:sz w:val="20"/>
          <w:szCs w:val="20"/>
          <w:lang w:val="en-US"/>
        </w:rPr>
      </w:pPr>
    </w:p>
    <w:p w:rsidR="005D7843" w:rsidRPr="005D7843" w:rsidRDefault="005D7843" w:rsidP="005D7843">
      <w:pPr>
        <w:spacing w:after="120"/>
        <w:rPr>
          <w:rFonts w:ascii="Tahoma" w:eastAsia="Calibri" w:hAnsi="Tahoma" w:cs="Tahoma"/>
          <w:color w:val="auto"/>
          <w:sz w:val="20"/>
          <w:szCs w:val="20"/>
          <w:lang w:val="en-US"/>
        </w:rPr>
      </w:pPr>
      <w:r w:rsidRPr="005D7843">
        <w:rPr>
          <w:rFonts w:ascii="Tahoma" w:eastAsia="Calibri" w:hAnsi="Tahoma" w:cs="Tahoma"/>
          <w:color w:val="auto"/>
          <w:sz w:val="20"/>
          <w:szCs w:val="20"/>
          <w:lang w:val="en-US"/>
        </w:rPr>
        <w:t>By combining documentation and perception measures - measures that highlight outcomes and on-the-ground realities – this proposed (new) indicator offers a more accurate picture of tenure security.</w:t>
      </w:r>
    </w:p>
    <w:p w:rsidR="005D7843" w:rsidRPr="005D7843" w:rsidRDefault="005D7843" w:rsidP="005D7843">
      <w:pPr>
        <w:spacing w:after="120"/>
        <w:ind w:left="720"/>
        <w:rPr>
          <w:rFonts w:ascii="Tahoma" w:eastAsia="Calibri" w:hAnsi="Tahoma" w:cs="Tahoma"/>
          <w:color w:val="auto"/>
          <w:sz w:val="20"/>
          <w:szCs w:val="20"/>
          <w:lang w:val="en-US"/>
        </w:rPr>
      </w:pPr>
      <w:r w:rsidRPr="005D7843">
        <w:rPr>
          <w:rFonts w:ascii="Tahoma" w:eastAsia="Calibri" w:hAnsi="Tahoma" w:cs="Tahoma"/>
          <w:color w:val="auto"/>
          <w:sz w:val="20"/>
          <w:szCs w:val="20"/>
          <w:lang w:val="en-US"/>
        </w:rPr>
        <w:t>By tracking the extent to which these rights are documented (sub-indicator a), governments can demonstrate that they are taking steps to formally grant the rights. The expression "legally documented or recognized evidence of tenure" is broad enough to consider different forms and systems of tenure, which in some countries may necessarily be expressed at the individual level, while in others may also include community-based and group customary forms.</w:t>
      </w:r>
    </w:p>
    <w:p w:rsidR="005D7843" w:rsidRPr="005D7843" w:rsidRDefault="005D7843" w:rsidP="005D7843">
      <w:pPr>
        <w:spacing w:after="120"/>
        <w:ind w:left="720"/>
        <w:rPr>
          <w:rFonts w:ascii="Tahoma" w:eastAsia="Calibri" w:hAnsi="Tahoma" w:cs="Tahoma"/>
          <w:color w:val="auto"/>
          <w:sz w:val="20"/>
          <w:szCs w:val="20"/>
          <w:lang w:val="en-US"/>
        </w:rPr>
      </w:pPr>
      <w:r w:rsidRPr="005D7843">
        <w:rPr>
          <w:rFonts w:ascii="Tahoma" w:eastAsia="Calibri" w:hAnsi="Tahoma" w:cs="Tahoma"/>
          <w:color w:val="auto"/>
          <w:sz w:val="20"/>
          <w:szCs w:val="20"/>
          <w:lang w:val="en-US"/>
        </w:rPr>
        <w:t xml:space="preserve">By tracking individuals’ perceptions of their own tenure security (sub-indicator b), the indicator summarizes in one measure the economic, social, and political risks affecting individuals, their households, and their communities as they perceive them. Individuals may face different kinds of threats to their land rights. Examples of these threats include the possibility of losing land due to adverse economic circumstances, to conflict in their communities, to large scale land acquisitions, or as it is often the case for women, to intra-family dynamics such as losing a husband. </w:t>
      </w:r>
    </w:p>
    <w:p w:rsidR="005D7843" w:rsidRPr="005D7843" w:rsidRDefault="005D7843" w:rsidP="005D7843">
      <w:pPr>
        <w:rPr>
          <w:rFonts w:ascii="Tahoma" w:eastAsia="Times New Roman" w:hAnsi="Tahoma" w:cs="Tahoma"/>
          <w:b/>
          <w:bCs/>
          <w:sz w:val="20"/>
          <w:szCs w:val="20"/>
          <w:lang w:val="en-US"/>
        </w:rPr>
      </w:pPr>
    </w:p>
    <w:p w:rsidR="005D7843" w:rsidRPr="005D7843" w:rsidRDefault="005D7843" w:rsidP="005D7843">
      <w:pPr>
        <w:numPr>
          <w:ilvl w:val="0"/>
          <w:numId w:val="6"/>
        </w:numPr>
        <w:rPr>
          <w:rFonts w:ascii="Tahoma" w:eastAsia="Times New Roman" w:hAnsi="Tahoma" w:cs="Tahoma"/>
          <w:b/>
          <w:bCs/>
          <w:sz w:val="20"/>
          <w:szCs w:val="20"/>
          <w:lang w:val="en-US"/>
        </w:rPr>
      </w:pPr>
      <w:r w:rsidRPr="005D7843">
        <w:rPr>
          <w:rFonts w:ascii="Tahoma" w:eastAsia="Times New Roman" w:hAnsi="Tahoma" w:cs="Tahoma"/>
          <w:b/>
          <w:bCs/>
          <w:sz w:val="20"/>
          <w:szCs w:val="20"/>
          <w:lang w:val="en-US"/>
        </w:rPr>
        <w:lastRenderedPageBreak/>
        <w:t xml:space="preserve">Sources and data collection </w:t>
      </w:r>
    </w:p>
    <w:p w:rsidR="005D7843" w:rsidRPr="005D7843" w:rsidRDefault="005D7843" w:rsidP="005D7843">
      <w:pPr>
        <w:rPr>
          <w:rFonts w:ascii="Tahoma" w:eastAsia="Times New Roman" w:hAnsi="Tahoma" w:cs="Tahoma"/>
          <w:b/>
          <w:bCs/>
          <w:sz w:val="20"/>
          <w:szCs w:val="20"/>
          <w:lang w:val="en-US"/>
        </w:rPr>
      </w:pPr>
    </w:p>
    <w:p w:rsidR="005D7843" w:rsidRPr="005D7843" w:rsidRDefault="005D7843" w:rsidP="005D7843">
      <w:pPr>
        <w:tabs>
          <w:tab w:val="left" w:pos="1665"/>
        </w:tabs>
        <w:spacing w:after="120"/>
        <w:rPr>
          <w:rFonts w:ascii="Tahoma" w:eastAsia="Calibri" w:hAnsi="Tahoma" w:cs="Tahoma"/>
          <w:spacing w:val="-2"/>
          <w:sz w:val="20"/>
          <w:lang w:val="en-US"/>
        </w:rPr>
      </w:pPr>
      <w:r w:rsidRPr="005D7843">
        <w:rPr>
          <w:rFonts w:ascii="Tahoma" w:eastAsia="Calibri" w:hAnsi="Tahoma" w:cs="Tahoma"/>
          <w:spacing w:val="-2"/>
          <w:sz w:val="20"/>
          <w:lang w:val="en-US"/>
        </w:rPr>
        <w:t xml:space="preserve">Only a few countries are currently ready to offer entire sets of data required to support this indicator on documentation and perceptions of land rights, however, the data void can and should be addressed. Data collection is considered feasible, through a phased methodology that can lead in few years to full coverage. </w:t>
      </w:r>
    </w:p>
    <w:p w:rsidR="005D7843" w:rsidRPr="005D7843" w:rsidRDefault="005D7843" w:rsidP="005D7843">
      <w:pPr>
        <w:tabs>
          <w:tab w:val="left" w:pos="1665"/>
        </w:tabs>
        <w:spacing w:after="120"/>
        <w:rPr>
          <w:rFonts w:ascii="Tahoma" w:eastAsia="Calibri" w:hAnsi="Tahoma" w:cs="Tahoma"/>
          <w:i/>
          <w:spacing w:val="-2"/>
          <w:sz w:val="20"/>
          <w:lang w:val="en-US"/>
        </w:rPr>
      </w:pPr>
      <w:r w:rsidRPr="005D7843">
        <w:rPr>
          <w:rFonts w:ascii="Tahoma" w:eastAsia="Calibri" w:hAnsi="Tahoma" w:cs="Tahoma"/>
          <w:i/>
          <w:spacing w:val="-2"/>
          <w:sz w:val="20"/>
          <w:lang w:val="en-US"/>
        </w:rPr>
        <w:t xml:space="preserve">Data for </w:t>
      </w:r>
      <w:r w:rsidRPr="005D7843">
        <w:rPr>
          <w:rFonts w:ascii="Tahoma" w:eastAsia="Calibri" w:hAnsi="Tahoma" w:cs="Tahoma"/>
          <w:i/>
          <w:spacing w:val="-2"/>
          <w:sz w:val="20"/>
          <w:u w:val="single"/>
          <w:lang w:val="en-US"/>
        </w:rPr>
        <w:t>Individual documentation and perception</w:t>
      </w:r>
    </w:p>
    <w:p w:rsidR="005D7843" w:rsidRPr="005D7843" w:rsidRDefault="005D7843" w:rsidP="005D7843">
      <w:pPr>
        <w:spacing w:after="120"/>
        <w:rPr>
          <w:rFonts w:ascii="Tahoma" w:eastAsia="Calibri" w:hAnsi="Tahoma" w:cs="Tahoma"/>
          <w:spacing w:val="-2"/>
          <w:sz w:val="20"/>
          <w:lang w:val="en-US"/>
        </w:rPr>
      </w:pPr>
      <w:r w:rsidRPr="005D7843">
        <w:rPr>
          <w:rFonts w:ascii="Tahoma" w:eastAsia="Calibri" w:hAnsi="Tahoma" w:cs="Tahoma"/>
          <w:b/>
          <w:spacing w:val="-2"/>
          <w:sz w:val="20"/>
          <w:lang w:val="en-US"/>
        </w:rPr>
        <w:t>In the short-term,</w:t>
      </w:r>
      <w:r w:rsidRPr="005D7843">
        <w:rPr>
          <w:rFonts w:ascii="Tahoma" w:eastAsia="Calibri" w:hAnsi="Tahoma" w:cs="Tahoma"/>
          <w:spacing w:val="-2"/>
          <w:sz w:val="20"/>
          <w:lang w:val="en-US"/>
        </w:rPr>
        <w:t xml:space="preserve"> global polls are suggested to create a baseline on individual, sex-disaggregated, and nationally representative primary data on women’s and men’s land rights. Testing questions in different contexts can also refine survey modules before their adoption by national statistical agencies. Methodology consistent with World Bank’s </w:t>
      </w:r>
      <w:hyperlink r:id="rId8" w:history="1">
        <w:r w:rsidRPr="005D7843">
          <w:rPr>
            <w:rFonts w:ascii="Tahoma" w:eastAsia="Calibri" w:hAnsi="Tahoma" w:cs="Tahoma"/>
            <w:color w:val="0000FF"/>
            <w:spacing w:val="-2"/>
            <w:sz w:val="20"/>
            <w:u w:val="single" w:color="0000FF"/>
            <w:lang w:val="en-US"/>
          </w:rPr>
          <w:t xml:space="preserve">Global </w:t>
        </w:r>
        <w:proofErr w:type="spellStart"/>
        <w:r w:rsidRPr="005D7843">
          <w:rPr>
            <w:rFonts w:ascii="Tahoma" w:eastAsia="Calibri" w:hAnsi="Tahoma" w:cs="Tahoma"/>
            <w:color w:val="0000FF"/>
            <w:spacing w:val="-2"/>
            <w:sz w:val="20"/>
            <w:u w:val="single" w:color="0000FF"/>
            <w:lang w:val="en-US"/>
          </w:rPr>
          <w:t>Findex</w:t>
        </w:r>
        <w:proofErr w:type="spellEnd"/>
      </w:hyperlink>
      <w:r w:rsidRPr="005D7843">
        <w:rPr>
          <w:rFonts w:ascii="Tahoma" w:eastAsia="Calibri" w:hAnsi="Tahoma" w:cs="Tahoma"/>
          <w:spacing w:val="-2"/>
          <w:sz w:val="20"/>
          <w:lang w:val="en-US"/>
        </w:rPr>
        <w:t xml:space="preserve"> (access to finance) and FAO’s </w:t>
      </w:r>
      <w:hyperlink r:id="rId9" w:history="1">
        <w:r w:rsidRPr="005D7843">
          <w:rPr>
            <w:rFonts w:ascii="Tahoma" w:eastAsia="Calibri" w:hAnsi="Tahoma" w:cs="Tahoma"/>
            <w:color w:val="0000FF"/>
            <w:spacing w:val="-2"/>
            <w:sz w:val="20"/>
            <w:u w:val="single" w:color="0000FF"/>
            <w:lang w:val="en-US"/>
          </w:rPr>
          <w:t>Voices of the Hungry</w:t>
        </w:r>
      </w:hyperlink>
      <w:r w:rsidRPr="005D7843">
        <w:rPr>
          <w:rFonts w:ascii="Tahoma" w:eastAsia="Calibri" w:hAnsi="Tahoma" w:cs="Tahoma"/>
          <w:spacing w:val="-2"/>
          <w:sz w:val="20"/>
          <w:lang w:val="en-US"/>
        </w:rPr>
        <w:t xml:space="preserve"> (access to food). </w:t>
      </w:r>
    </w:p>
    <w:p w:rsidR="005D7843" w:rsidRPr="005D7843" w:rsidRDefault="005D7843" w:rsidP="005D7843">
      <w:pPr>
        <w:spacing w:after="120"/>
        <w:rPr>
          <w:rFonts w:ascii="Tahoma" w:eastAsia="Calibri" w:hAnsi="Tahoma" w:cs="Tahoma"/>
          <w:spacing w:val="-2"/>
          <w:sz w:val="20"/>
          <w:lang w:val="en-US"/>
        </w:rPr>
      </w:pPr>
      <w:r w:rsidRPr="005D7843">
        <w:rPr>
          <w:rFonts w:ascii="Tahoma" w:eastAsia="Calibri" w:hAnsi="Tahoma" w:cs="Tahoma"/>
          <w:b/>
          <w:spacing w:val="-2"/>
          <w:sz w:val="20"/>
          <w:lang w:val="en-US"/>
        </w:rPr>
        <w:t>In the medium-term,</w:t>
      </w:r>
      <w:r w:rsidRPr="005D7843">
        <w:rPr>
          <w:rFonts w:ascii="Tahoma" w:eastAsia="Calibri" w:hAnsi="Tahoma" w:cs="Tahoma"/>
          <w:spacing w:val="-2"/>
          <w:sz w:val="20"/>
          <w:lang w:val="en-US"/>
        </w:rPr>
        <w:t xml:space="preserve"> countries are expected to leverage learnings from the global polls to obtain more nuanced and precise measures using nationally representative multi-purpose household surveys.  A number of countries have piloted similar efforts through the LSMS-ISA and the Urban Inequities surveys led by the World Bank and by UN Habitat, respectively. In the first one, households provide information on all their members, all their plots of land and the documents they have, with the list of documents to consider varying by country. In the second, all members of the household are interviewed and asked about their perceptions of their tenure security. These multi-purpose household surveys will need to be adjusted and their coverage expanded, but the tools have been tested and the expertise to lead the effort exists.</w:t>
      </w:r>
    </w:p>
    <w:p w:rsidR="005D7843" w:rsidRPr="005D7843" w:rsidRDefault="005D7843" w:rsidP="005D7843">
      <w:pPr>
        <w:tabs>
          <w:tab w:val="left" w:pos="1665"/>
        </w:tabs>
        <w:spacing w:after="120"/>
        <w:rPr>
          <w:rFonts w:ascii="Tahoma" w:eastAsia="Calibri" w:hAnsi="Tahoma" w:cs="Tahoma"/>
          <w:spacing w:val="-2"/>
          <w:sz w:val="20"/>
          <w:lang w:val="en-US"/>
        </w:rPr>
      </w:pPr>
      <w:r w:rsidRPr="005D7843">
        <w:rPr>
          <w:rFonts w:ascii="Tahoma" w:eastAsia="Calibri" w:hAnsi="Tahoma" w:cs="Tahoma"/>
          <w:b/>
          <w:spacing w:val="-2"/>
          <w:sz w:val="20"/>
          <w:lang w:val="en-US"/>
        </w:rPr>
        <w:t>In the long-term,</w:t>
      </w:r>
      <w:r w:rsidRPr="005D7843">
        <w:rPr>
          <w:rFonts w:ascii="Tahoma" w:eastAsia="Calibri" w:hAnsi="Tahoma" w:cs="Tahoma"/>
          <w:spacing w:val="-2"/>
          <w:sz w:val="20"/>
          <w:lang w:val="en-US"/>
        </w:rPr>
        <w:t xml:space="preserve"> countries’ administrations can gather, generate and make available data. This requires that countries have data on the rights of all women and men who access land through group or individually held tenure arrangements (e.g., long-term contractual use rights, ownership, rental agreements, </w:t>
      </w:r>
      <w:proofErr w:type="gramStart"/>
      <w:r w:rsidRPr="005D7843">
        <w:rPr>
          <w:rFonts w:ascii="Tahoma" w:eastAsia="Calibri" w:hAnsi="Tahoma" w:cs="Tahoma"/>
          <w:spacing w:val="-2"/>
          <w:sz w:val="20"/>
          <w:lang w:val="en-US"/>
        </w:rPr>
        <w:t>community</w:t>
      </w:r>
      <w:proofErr w:type="gramEnd"/>
      <w:r w:rsidRPr="005D7843">
        <w:rPr>
          <w:rFonts w:ascii="Tahoma" w:eastAsia="Calibri" w:hAnsi="Tahoma" w:cs="Tahoma"/>
          <w:spacing w:val="-2"/>
          <w:sz w:val="20"/>
          <w:lang w:val="en-US"/>
        </w:rPr>
        <w:t>-managed resources). The data needs to cover the entire territory and contain unique individual identifiers.</w:t>
      </w:r>
      <w:r w:rsidRPr="005D7843">
        <w:rPr>
          <w:rFonts w:ascii="Tahoma" w:eastAsia="Calibri" w:hAnsi="Tahoma" w:cs="Tahoma"/>
          <w:spacing w:val="-2"/>
          <w:sz w:val="20"/>
          <w:vertAlign w:val="superscript"/>
          <w:lang w:val="en-US"/>
        </w:rPr>
        <w:footnoteReference w:id="1"/>
      </w:r>
      <w:r w:rsidRPr="005D7843">
        <w:rPr>
          <w:rFonts w:ascii="Tahoma" w:eastAsia="Calibri" w:hAnsi="Tahoma" w:cs="Tahoma"/>
          <w:spacing w:val="-2"/>
          <w:sz w:val="20"/>
          <w:lang w:val="en-US"/>
        </w:rPr>
        <w:t xml:space="preserve"> Some countries are already establishing land information systems that house this kind of data. With sustained effort over time and in more countries, suitable administrative data will become available globally. </w:t>
      </w:r>
    </w:p>
    <w:p w:rsidR="005D7843" w:rsidRPr="005D7843" w:rsidRDefault="005D7843" w:rsidP="005D7843">
      <w:pPr>
        <w:tabs>
          <w:tab w:val="left" w:pos="1665"/>
        </w:tabs>
        <w:spacing w:after="120"/>
        <w:rPr>
          <w:rFonts w:ascii="Tahoma" w:eastAsia="Calibri" w:hAnsi="Tahoma" w:cs="Tahoma"/>
          <w:i/>
          <w:spacing w:val="-2"/>
          <w:sz w:val="20"/>
          <w:lang w:val="en-US"/>
        </w:rPr>
      </w:pPr>
      <w:r w:rsidRPr="005D7843">
        <w:rPr>
          <w:rFonts w:ascii="Tahoma" w:eastAsia="Calibri" w:hAnsi="Tahoma" w:cs="Tahoma"/>
          <w:i/>
          <w:spacing w:val="-2"/>
          <w:sz w:val="20"/>
          <w:u w:val="single"/>
          <w:lang w:val="en-US"/>
        </w:rPr>
        <w:t>Data for Group tenure rights</w:t>
      </w:r>
    </w:p>
    <w:p w:rsidR="005D7843" w:rsidRPr="005D7843" w:rsidRDefault="005D7843" w:rsidP="005D7843">
      <w:pPr>
        <w:tabs>
          <w:tab w:val="left" w:pos="1665"/>
        </w:tabs>
        <w:spacing w:after="120"/>
        <w:rPr>
          <w:rFonts w:ascii="Tahoma" w:eastAsia="Calibri" w:hAnsi="Tahoma" w:cs="Tahoma"/>
          <w:i/>
          <w:spacing w:val="-2"/>
          <w:sz w:val="20"/>
          <w:lang w:val="en-US"/>
        </w:rPr>
      </w:pPr>
      <w:r w:rsidRPr="005D7843">
        <w:rPr>
          <w:rFonts w:ascii="Tahoma" w:eastAsia="Calibri" w:hAnsi="Tahoma" w:cs="Tahoma"/>
          <w:spacing w:val="-2"/>
          <w:sz w:val="20"/>
          <w:lang w:val="en-US"/>
        </w:rPr>
        <w:t>In the short to medium-term, data on documentation of collective indigenous peoples and local communities’ tenure rights and their allocation among community members can be obtained by triangulating rights granted by law, existing administrative data, GIS information, community-based monitoring systems and opinions from experts and peer groups. In the long-term, administrative data should include this information systematically.</w:t>
      </w:r>
    </w:p>
    <w:p w:rsidR="005D7843" w:rsidRPr="005D7843" w:rsidRDefault="005D7843" w:rsidP="005D7843">
      <w:pPr>
        <w:rPr>
          <w:rFonts w:ascii="Tahoma" w:eastAsia="Times New Roman" w:hAnsi="Tahoma" w:cs="Tahoma"/>
          <w:bCs/>
          <w:sz w:val="20"/>
          <w:szCs w:val="20"/>
          <w:lang w:val="en-US"/>
        </w:rPr>
      </w:pPr>
      <w:r w:rsidRPr="005D7843">
        <w:rPr>
          <w:rFonts w:ascii="Tahoma" w:eastAsia="Times New Roman" w:hAnsi="Tahoma" w:cs="Tahoma"/>
          <w:bCs/>
          <w:sz w:val="20"/>
          <w:szCs w:val="20"/>
          <w:lang w:val="en-US"/>
        </w:rPr>
        <w:t>The path described above serves for gathering data to monitor globally and regionally.</w:t>
      </w:r>
    </w:p>
    <w:p w:rsidR="005D7843" w:rsidRPr="005D7843" w:rsidRDefault="005D7843" w:rsidP="005D7843">
      <w:pPr>
        <w:rPr>
          <w:rFonts w:ascii="Tahoma" w:eastAsia="Times New Roman" w:hAnsi="Tahoma" w:cs="Tahoma"/>
          <w:bCs/>
          <w:sz w:val="20"/>
          <w:szCs w:val="20"/>
          <w:lang w:val="en-US"/>
        </w:rPr>
      </w:pPr>
    </w:p>
    <w:p w:rsidR="005D7843" w:rsidRPr="005D7843" w:rsidRDefault="005D7843" w:rsidP="005D7843">
      <w:pPr>
        <w:numPr>
          <w:ilvl w:val="0"/>
          <w:numId w:val="6"/>
        </w:numPr>
        <w:rPr>
          <w:rFonts w:ascii="Tahoma" w:eastAsia="Times New Roman" w:hAnsi="Tahoma" w:cs="Tahoma"/>
          <w:b/>
          <w:bCs/>
          <w:sz w:val="20"/>
          <w:szCs w:val="20"/>
          <w:lang w:val="en-US"/>
        </w:rPr>
      </w:pPr>
      <w:r w:rsidRPr="005D7843">
        <w:rPr>
          <w:rFonts w:ascii="Tahoma" w:eastAsia="Times New Roman" w:hAnsi="Tahoma" w:cs="Tahoma"/>
          <w:b/>
          <w:bCs/>
          <w:sz w:val="20"/>
          <w:szCs w:val="20"/>
          <w:lang w:val="en-US"/>
        </w:rPr>
        <w:t>Disaggregation</w:t>
      </w:r>
    </w:p>
    <w:p w:rsidR="005D7843" w:rsidRPr="005D7843" w:rsidRDefault="005D7843" w:rsidP="005D7843">
      <w:pPr>
        <w:rPr>
          <w:rFonts w:ascii="Tahoma" w:eastAsia="Times New Roman" w:hAnsi="Tahoma" w:cs="Tahoma"/>
          <w:bCs/>
          <w:sz w:val="20"/>
          <w:szCs w:val="20"/>
          <w:lang w:val="en-US"/>
        </w:rPr>
      </w:pPr>
    </w:p>
    <w:p w:rsidR="005D7843" w:rsidRPr="005D7843" w:rsidRDefault="005D7843" w:rsidP="005D7843">
      <w:pPr>
        <w:rPr>
          <w:rFonts w:ascii="Tahoma" w:eastAsia="Times New Roman" w:hAnsi="Tahoma" w:cs="Tahoma"/>
          <w:sz w:val="20"/>
          <w:szCs w:val="20"/>
          <w:lang w:val="en-US"/>
        </w:rPr>
      </w:pPr>
      <w:r w:rsidRPr="005D7843">
        <w:rPr>
          <w:rFonts w:ascii="Tahoma" w:eastAsia="Times New Roman" w:hAnsi="Tahoma" w:cs="Tahoma"/>
          <w:bCs/>
          <w:i/>
          <w:sz w:val="20"/>
          <w:szCs w:val="20"/>
          <w:lang w:val="en-US"/>
        </w:rPr>
        <w:t>Data should be disaggregated by</w:t>
      </w:r>
      <w:r w:rsidRPr="005D7843">
        <w:rPr>
          <w:rFonts w:ascii="Tahoma" w:eastAsia="Times New Roman" w:hAnsi="Tahoma" w:cs="Tahoma"/>
          <w:bCs/>
          <w:sz w:val="20"/>
          <w:szCs w:val="20"/>
          <w:lang w:val="en-US"/>
        </w:rPr>
        <w:t>:</w:t>
      </w:r>
      <w:r w:rsidRPr="005D7843">
        <w:rPr>
          <w:rFonts w:ascii="Tahoma" w:eastAsia="Times New Roman" w:hAnsi="Tahoma" w:cs="Tahoma"/>
          <w:sz w:val="20"/>
          <w:szCs w:val="20"/>
          <w:lang w:val="en-US"/>
        </w:rPr>
        <w:t xml:space="preserve"> sex, age group, race/caste, urban/rural, geographical area, type of tenure. Disaggregation by urban/rural is particularly crucial as it would make this indicator better serve Goal 11. </w:t>
      </w:r>
    </w:p>
    <w:p w:rsidR="005D7843" w:rsidRPr="005D7843" w:rsidRDefault="005D7843" w:rsidP="005D7843">
      <w:pPr>
        <w:rPr>
          <w:rFonts w:ascii="Tahoma" w:eastAsia="Times New Roman" w:hAnsi="Tahoma" w:cs="Tahoma"/>
          <w:sz w:val="20"/>
          <w:szCs w:val="20"/>
          <w:lang w:val="en-US"/>
        </w:rPr>
      </w:pPr>
    </w:p>
    <w:p w:rsidR="005D7843" w:rsidRPr="005D7843" w:rsidRDefault="005D7843" w:rsidP="005D7843">
      <w:pPr>
        <w:autoSpaceDE w:val="0"/>
        <w:autoSpaceDN w:val="0"/>
        <w:adjustRightInd w:val="0"/>
        <w:spacing w:after="120"/>
        <w:rPr>
          <w:rFonts w:ascii="Tahoma" w:eastAsia="Calibri" w:hAnsi="Tahoma" w:cs="Tahoma"/>
          <w:color w:val="auto"/>
          <w:spacing w:val="-2"/>
          <w:sz w:val="20"/>
          <w:szCs w:val="20"/>
          <w:lang w:val="en-US"/>
        </w:rPr>
      </w:pPr>
      <w:r w:rsidRPr="005D7843">
        <w:rPr>
          <w:rFonts w:ascii="Tahoma" w:eastAsia="Calibri" w:hAnsi="Tahoma" w:cs="Tahoma"/>
          <w:color w:val="auto"/>
          <w:spacing w:val="-2"/>
          <w:sz w:val="20"/>
          <w:szCs w:val="20"/>
          <w:lang w:val="en-US"/>
        </w:rPr>
        <w:t xml:space="preserve">By explicitly distinguishing between women and men, this indicator has a built-in safety guard to ensure that this ambitious development agenda does not leave women behind, unintentionally exacerbating the gender asset gap and undermining governments’ ability to meet the  globally agreed upon goals.  Alternative wording such as “proportion of the population” or “percentage of households” leaves the door open to prioritizing men over women. </w:t>
      </w:r>
    </w:p>
    <w:p w:rsidR="005D7843" w:rsidRPr="005D7843" w:rsidRDefault="005D7843" w:rsidP="005D7843">
      <w:pPr>
        <w:rPr>
          <w:rFonts w:ascii="Tahoma" w:eastAsia="Times New Roman" w:hAnsi="Tahoma" w:cs="Tahoma"/>
          <w:sz w:val="20"/>
          <w:szCs w:val="20"/>
          <w:lang w:val="en-US"/>
        </w:rPr>
      </w:pPr>
    </w:p>
    <w:p w:rsidR="005D7843" w:rsidRPr="005D7843" w:rsidRDefault="005D7843" w:rsidP="005D7843">
      <w:pPr>
        <w:numPr>
          <w:ilvl w:val="0"/>
          <w:numId w:val="6"/>
        </w:numPr>
        <w:rPr>
          <w:rFonts w:ascii="Tahoma" w:eastAsia="Times New Roman" w:hAnsi="Tahoma" w:cs="Tahoma"/>
          <w:b/>
          <w:bCs/>
          <w:sz w:val="20"/>
          <w:szCs w:val="20"/>
          <w:lang w:val="en-US"/>
        </w:rPr>
      </w:pPr>
      <w:r w:rsidRPr="005D7843">
        <w:rPr>
          <w:rFonts w:ascii="Tahoma" w:eastAsia="Times New Roman" w:hAnsi="Tahoma" w:cs="Tahoma"/>
          <w:b/>
          <w:bCs/>
          <w:sz w:val="20"/>
          <w:szCs w:val="20"/>
          <w:lang w:val="en-US"/>
        </w:rPr>
        <w:t>Comments and limitations</w:t>
      </w:r>
    </w:p>
    <w:p w:rsidR="005D7843" w:rsidRPr="005D7843" w:rsidRDefault="005D7843" w:rsidP="005D7843">
      <w:pPr>
        <w:rPr>
          <w:rFonts w:ascii="Tahoma" w:eastAsia="Times New Roman" w:hAnsi="Tahoma" w:cs="Tahoma"/>
          <w:bCs/>
          <w:sz w:val="20"/>
          <w:szCs w:val="20"/>
          <w:lang w:val="en-US"/>
        </w:rPr>
      </w:pPr>
    </w:p>
    <w:p w:rsidR="005D7843" w:rsidRPr="005D7843" w:rsidRDefault="005D7843" w:rsidP="005D7843">
      <w:pPr>
        <w:numPr>
          <w:ilvl w:val="0"/>
          <w:numId w:val="8"/>
        </w:numPr>
        <w:rPr>
          <w:rFonts w:ascii="Tahoma" w:eastAsia="Times New Roman" w:hAnsi="Tahoma" w:cs="Tahoma"/>
          <w:bCs/>
          <w:sz w:val="20"/>
          <w:szCs w:val="20"/>
          <w:lang w:val="en-US"/>
        </w:rPr>
      </w:pPr>
      <w:r w:rsidRPr="005D7843">
        <w:rPr>
          <w:rFonts w:ascii="Tahoma" w:eastAsia="Times New Roman" w:hAnsi="Tahoma" w:cs="Tahoma"/>
          <w:bCs/>
          <w:sz w:val="20"/>
          <w:szCs w:val="20"/>
          <w:lang w:val="en-US"/>
        </w:rPr>
        <w:lastRenderedPageBreak/>
        <w:t xml:space="preserve">The alternative (new) indicator is consistent with the work of the Global Land Indicators Initiative (supported through the Global Land Tool Network : </w:t>
      </w:r>
      <w:hyperlink r:id="rId10" w:history="1">
        <w:r w:rsidRPr="005D7843">
          <w:rPr>
            <w:rFonts w:ascii="Tahoma" w:eastAsia="Times New Roman" w:hAnsi="Tahoma" w:cs="Tahoma"/>
            <w:bCs/>
            <w:color w:val="0000FF"/>
            <w:sz w:val="20"/>
            <w:szCs w:val="20"/>
            <w:u w:val="single"/>
            <w:lang w:val="en-US"/>
          </w:rPr>
          <w:t>http://unhabitat.org/gltn/</w:t>
        </w:r>
      </w:hyperlink>
      <w:r w:rsidRPr="005D7843">
        <w:rPr>
          <w:rFonts w:ascii="Tahoma" w:eastAsia="Times New Roman" w:hAnsi="Tahoma" w:cs="Tahoma"/>
          <w:bCs/>
          <w:sz w:val="20"/>
          <w:szCs w:val="20"/>
          <w:lang w:val="en-US"/>
        </w:rPr>
        <w:t xml:space="preserve">), which is a platform for dialogue and action led by the World Bank, MCC, and UN-Habitat, and involving various UN entities, stakeholders, including scientists and statisticians. The platform offers an opportunity to further test this indicator, support countries and other stakeholders in producing consistent data, share best practices and refine methodologies, and definitions.  </w:t>
      </w:r>
    </w:p>
    <w:p w:rsidR="005D7843" w:rsidRPr="005D7843" w:rsidRDefault="005D7843" w:rsidP="005D7843">
      <w:pPr>
        <w:ind w:left="360"/>
        <w:rPr>
          <w:rFonts w:ascii="Tahoma" w:eastAsia="Times New Roman" w:hAnsi="Tahoma" w:cs="Tahoma"/>
          <w:bCs/>
          <w:sz w:val="20"/>
          <w:szCs w:val="20"/>
          <w:lang w:val="en-US"/>
        </w:rPr>
      </w:pPr>
    </w:p>
    <w:p w:rsidR="005D7843" w:rsidRPr="005D7843" w:rsidRDefault="005D7843" w:rsidP="005D7843">
      <w:pPr>
        <w:numPr>
          <w:ilvl w:val="0"/>
          <w:numId w:val="8"/>
        </w:numPr>
        <w:rPr>
          <w:rFonts w:ascii="Tahoma" w:eastAsia="Times New Roman" w:hAnsi="Tahoma" w:cs="Tahoma"/>
          <w:bCs/>
          <w:sz w:val="20"/>
          <w:szCs w:val="20"/>
          <w:lang w:val="en-US"/>
        </w:rPr>
      </w:pPr>
      <w:r w:rsidRPr="005D7843">
        <w:rPr>
          <w:rFonts w:ascii="Tahoma" w:eastAsia="Times New Roman" w:hAnsi="Tahoma" w:cs="Tahoma"/>
          <w:bCs/>
          <w:sz w:val="20"/>
          <w:szCs w:val="20"/>
          <w:lang w:val="en-US"/>
        </w:rPr>
        <w:t xml:space="preserve">The alternative (new) indicator is consistent with the Senior Expert Group on “Integrated Measures for Monitoring” facilitated by UNEP on 3/5 December 2014 and the proposal of the Sustainable Solutions Development Network (SDNS); it is also supported by the International Union of Conservation of Nature (IUCN), WWF, and a large group of experts coming from civil society (more than 30 organizations – See references).   </w:t>
      </w:r>
    </w:p>
    <w:p w:rsidR="005D7843" w:rsidRPr="005D7843" w:rsidRDefault="005D7843" w:rsidP="005D7843">
      <w:pPr>
        <w:rPr>
          <w:rFonts w:ascii="Tahoma" w:eastAsia="Times New Roman" w:hAnsi="Tahoma" w:cs="Tahoma"/>
          <w:bCs/>
          <w:sz w:val="20"/>
          <w:szCs w:val="20"/>
          <w:lang w:val="en-US"/>
        </w:rPr>
      </w:pPr>
    </w:p>
    <w:p w:rsidR="005D7843" w:rsidRPr="005D7843" w:rsidRDefault="005D7843" w:rsidP="005D7843">
      <w:pPr>
        <w:rPr>
          <w:rFonts w:ascii="Tahoma" w:eastAsia="Calibri" w:hAnsi="Tahoma" w:cs="Tahoma"/>
          <w:color w:val="auto"/>
          <w:spacing w:val="-2"/>
          <w:sz w:val="20"/>
          <w:szCs w:val="20"/>
          <w:lang w:val="en-US"/>
        </w:rPr>
      </w:pPr>
      <w:r w:rsidRPr="005D7843">
        <w:rPr>
          <w:rFonts w:ascii="Tahoma" w:eastAsia="Times New Roman" w:hAnsi="Tahoma" w:cs="Tahoma"/>
          <w:bCs/>
          <w:sz w:val="20"/>
          <w:szCs w:val="20"/>
          <w:lang w:val="en-US"/>
        </w:rPr>
        <w:t xml:space="preserve">Limitations consist in the few countries that are currently able to provide all the data. However, </w:t>
      </w:r>
      <w:r w:rsidRPr="005D7843">
        <w:rPr>
          <w:rFonts w:ascii="Tahoma" w:eastAsia="Calibri" w:hAnsi="Tahoma" w:cs="Tahoma"/>
          <w:color w:val="auto"/>
          <w:spacing w:val="-2"/>
          <w:sz w:val="20"/>
          <w:szCs w:val="20"/>
          <w:lang w:val="en-US"/>
        </w:rPr>
        <w:t xml:space="preserve">data collection for this cross-cutting indicator is feasible and cost effective, the tools have been tested and the expertise to lead the effort exists. Most importantly, the indicator is consistent with the level of ambition of the current targets and justifies a push for data gathering on a critical subject, supported by strong international consensus (signified by the VGGT and other international standards). </w:t>
      </w:r>
    </w:p>
    <w:p w:rsidR="005D7843" w:rsidRPr="005D7843" w:rsidRDefault="005D7843" w:rsidP="005D7843">
      <w:pPr>
        <w:rPr>
          <w:rFonts w:ascii="Tahoma" w:eastAsia="Times New Roman" w:hAnsi="Tahoma" w:cs="Tahoma"/>
          <w:bCs/>
          <w:sz w:val="20"/>
          <w:szCs w:val="20"/>
          <w:lang w:val="en-US"/>
        </w:rPr>
      </w:pPr>
    </w:p>
    <w:p w:rsidR="005D7843" w:rsidRPr="005D7843" w:rsidRDefault="005D7843" w:rsidP="005D7843">
      <w:pPr>
        <w:rPr>
          <w:rFonts w:ascii="Tahoma" w:eastAsia="Times New Roman" w:hAnsi="Tahoma" w:cs="Tahoma"/>
          <w:bCs/>
          <w:sz w:val="20"/>
          <w:szCs w:val="20"/>
          <w:lang w:val="en-US"/>
        </w:rPr>
      </w:pPr>
    </w:p>
    <w:p w:rsidR="005D7843" w:rsidRPr="005D7843" w:rsidRDefault="005D7843" w:rsidP="005D7843">
      <w:pPr>
        <w:rPr>
          <w:rFonts w:ascii="Tahoma" w:eastAsia="Times New Roman" w:hAnsi="Tahoma" w:cs="Tahoma"/>
          <w:bCs/>
          <w:sz w:val="20"/>
          <w:szCs w:val="20"/>
          <w:lang w:val="en-US"/>
        </w:rPr>
      </w:pPr>
    </w:p>
    <w:p w:rsidR="005D7843" w:rsidRPr="005D7843" w:rsidRDefault="005D7843" w:rsidP="005D7843">
      <w:pPr>
        <w:rPr>
          <w:rFonts w:ascii="Tahoma" w:eastAsia="Times New Roman" w:hAnsi="Tahoma" w:cs="Tahoma"/>
          <w:b/>
          <w:bCs/>
          <w:sz w:val="20"/>
          <w:szCs w:val="20"/>
          <w:lang w:val="en-US"/>
        </w:rPr>
      </w:pPr>
      <w:r w:rsidRPr="005D7843">
        <w:rPr>
          <w:rFonts w:ascii="Tahoma" w:eastAsia="Times New Roman" w:hAnsi="Tahoma" w:cs="Tahoma"/>
          <w:b/>
          <w:bCs/>
          <w:sz w:val="20"/>
          <w:szCs w:val="20"/>
          <w:lang w:val="en-US"/>
        </w:rPr>
        <w:t>Key references</w:t>
      </w:r>
    </w:p>
    <w:p w:rsidR="005D7843" w:rsidRPr="005D7843" w:rsidRDefault="005D7843" w:rsidP="005D7843">
      <w:pPr>
        <w:numPr>
          <w:ilvl w:val="0"/>
          <w:numId w:val="9"/>
        </w:numPr>
        <w:rPr>
          <w:rFonts w:ascii="Tahoma" w:eastAsia="Times New Roman" w:hAnsi="Tahoma" w:cs="Tahoma"/>
          <w:bCs/>
          <w:sz w:val="20"/>
          <w:szCs w:val="20"/>
          <w:lang w:val="en-US"/>
        </w:rPr>
      </w:pPr>
      <w:r w:rsidRPr="005D7843">
        <w:rPr>
          <w:rFonts w:ascii="Tahoma" w:eastAsia="Times New Roman" w:hAnsi="Tahoma" w:cs="Tahoma"/>
          <w:bCs/>
          <w:sz w:val="20"/>
          <w:szCs w:val="20"/>
          <w:lang w:val="en-US"/>
        </w:rPr>
        <w:t xml:space="preserve">UNEP. 2015. Report of the Senior Expert Group Meeting “Integrated Measures for Monitoring” Gland, Switzerland 3-5 December 2014. </w:t>
      </w:r>
    </w:p>
    <w:p w:rsidR="005D7843" w:rsidRPr="005D7843" w:rsidRDefault="005D7843" w:rsidP="005D7843">
      <w:pPr>
        <w:numPr>
          <w:ilvl w:val="0"/>
          <w:numId w:val="9"/>
        </w:numPr>
        <w:rPr>
          <w:rFonts w:ascii="Tahoma" w:eastAsia="Times New Roman" w:hAnsi="Tahoma" w:cs="Tahoma"/>
          <w:bCs/>
          <w:sz w:val="20"/>
          <w:szCs w:val="20"/>
          <w:lang w:val="en-US"/>
        </w:rPr>
      </w:pPr>
      <w:r w:rsidRPr="005D7843">
        <w:rPr>
          <w:rFonts w:ascii="Tahoma" w:eastAsia="Times New Roman" w:hAnsi="Tahoma" w:cs="Tahoma"/>
          <w:bCs/>
          <w:sz w:val="20"/>
          <w:szCs w:val="20"/>
          <w:lang w:val="en-US"/>
        </w:rPr>
        <w:t xml:space="preserve">GLII. 2015. Conceptual framework and list of indicators. </w:t>
      </w:r>
    </w:p>
    <w:p w:rsidR="005D7843" w:rsidRPr="005D7843" w:rsidRDefault="005D7843" w:rsidP="005D7843">
      <w:pPr>
        <w:numPr>
          <w:ilvl w:val="0"/>
          <w:numId w:val="9"/>
        </w:numPr>
        <w:rPr>
          <w:rFonts w:ascii="Tahoma" w:eastAsia="Times New Roman" w:hAnsi="Tahoma" w:cs="Tahoma"/>
          <w:bCs/>
          <w:sz w:val="20"/>
          <w:szCs w:val="20"/>
          <w:lang w:val="en-US"/>
        </w:rPr>
      </w:pPr>
      <w:r w:rsidRPr="005D7843">
        <w:rPr>
          <w:rFonts w:ascii="Tahoma" w:eastAsia="Times New Roman" w:hAnsi="Tahoma" w:cs="Tahoma"/>
          <w:bCs/>
          <w:sz w:val="20"/>
          <w:szCs w:val="20"/>
          <w:lang w:val="en-US"/>
        </w:rPr>
        <w:t xml:space="preserve">World Bank. 2015. Feasibility study on the GLII proposed list of indicators. </w:t>
      </w:r>
    </w:p>
    <w:p w:rsidR="005D7843" w:rsidRPr="005D7843" w:rsidRDefault="005D7843" w:rsidP="005D7843">
      <w:pPr>
        <w:numPr>
          <w:ilvl w:val="0"/>
          <w:numId w:val="9"/>
        </w:numPr>
        <w:rPr>
          <w:rFonts w:ascii="Tahoma" w:eastAsia="Times New Roman" w:hAnsi="Tahoma" w:cs="Tahoma"/>
          <w:bCs/>
          <w:sz w:val="20"/>
          <w:szCs w:val="20"/>
          <w:lang w:val="en-US"/>
        </w:rPr>
      </w:pPr>
      <w:r w:rsidRPr="005D7843">
        <w:rPr>
          <w:rFonts w:ascii="Tahoma" w:eastAsia="Times New Roman" w:hAnsi="Tahoma" w:cs="Tahoma"/>
          <w:bCs/>
          <w:sz w:val="20"/>
          <w:szCs w:val="20"/>
          <w:lang w:val="en-US"/>
        </w:rPr>
        <w:t xml:space="preserve">IUCN et al. 2015. Land Rights Indicators in the Post-2015 Agenda, available </w:t>
      </w:r>
      <w:hyperlink r:id="rId11" w:history="1">
        <w:r w:rsidRPr="005D7843">
          <w:rPr>
            <w:rFonts w:ascii="Tahoma" w:eastAsia="Times New Roman" w:hAnsi="Tahoma" w:cs="Tahoma"/>
            <w:bCs/>
            <w:color w:val="0000FF"/>
            <w:sz w:val="20"/>
            <w:szCs w:val="20"/>
            <w:u w:val="single"/>
            <w:lang w:val="en-US"/>
          </w:rPr>
          <w:t>here</w:t>
        </w:r>
      </w:hyperlink>
      <w:r w:rsidRPr="005D7843">
        <w:rPr>
          <w:rFonts w:ascii="Tahoma" w:eastAsia="Times New Roman" w:hAnsi="Tahoma" w:cs="Tahoma"/>
          <w:bCs/>
          <w:sz w:val="20"/>
          <w:szCs w:val="20"/>
          <w:lang w:val="en-US"/>
        </w:rPr>
        <w:t>.</w:t>
      </w:r>
    </w:p>
    <w:p w:rsidR="005D7843" w:rsidRPr="005D7843" w:rsidRDefault="005D7843" w:rsidP="005D7843">
      <w:pPr>
        <w:numPr>
          <w:ilvl w:val="0"/>
          <w:numId w:val="9"/>
        </w:numPr>
        <w:rPr>
          <w:rFonts w:ascii="Tahoma" w:eastAsia="Times New Roman" w:hAnsi="Tahoma" w:cs="Tahoma"/>
          <w:bCs/>
          <w:sz w:val="20"/>
          <w:szCs w:val="20"/>
          <w:lang w:val="en-US"/>
        </w:rPr>
      </w:pPr>
      <w:r w:rsidRPr="005D7843">
        <w:rPr>
          <w:rFonts w:ascii="Tahoma" w:eastAsia="Times New Roman" w:hAnsi="Tahoma" w:cs="Tahoma"/>
          <w:bCs/>
          <w:sz w:val="20"/>
          <w:szCs w:val="20"/>
          <w:lang w:val="en-US"/>
        </w:rPr>
        <w:t>I</w:t>
      </w:r>
      <w:r w:rsidRPr="005D7843">
        <w:rPr>
          <w:rFonts w:ascii="Tahoma" w:eastAsia="Times New Roman" w:hAnsi="Tahoma" w:cs="Tahoma"/>
          <w:sz w:val="20"/>
          <w:szCs w:val="20"/>
          <w:lang w:val="en-US"/>
        </w:rPr>
        <w:t xml:space="preserve">ndigenous Peoples’ International Centre for Policy Research and Education, </w:t>
      </w:r>
      <w:proofErr w:type="spellStart"/>
      <w:r w:rsidRPr="005D7843">
        <w:rPr>
          <w:rFonts w:ascii="Tahoma" w:eastAsia="Times New Roman" w:hAnsi="Tahoma" w:cs="Tahoma"/>
          <w:sz w:val="20"/>
          <w:szCs w:val="20"/>
          <w:lang w:val="en-US"/>
        </w:rPr>
        <w:t>Tebtebba</w:t>
      </w:r>
      <w:proofErr w:type="spellEnd"/>
      <w:r w:rsidRPr="005D7843">
        <w:rPr>
          <w:rFonts w:ascii="Tahoma" w:eastAsia="Times New Roman" w:hAnsi="Tahoma" w:cs="Tahoma"/>
          <w:sz w:val="20"/>
          <w:szCs w:val="20"/>
          <w:lang w:val="en-US"/>
        </w:rPr>
        <w:t xml:space="preserve"> Foundation. 2008, </w:t>
      </w:r>
      <w:r w:rsidRPr="005D7843">
        <w:rPr>
          <w:rFonts w:ascii="Tahoma" w:eastAsia="Times New Roman" w:hAnsi="Tahoma" w:cs="Tahoma"/>
          <w:i/>
          <w:sz w:val="20"/>
          <w:szCs w:val="20"/>
          <w:lang w:val="en-US"/>
        </w:rPr>
        <w:t>Indicators Relevant for Indigenous Peoples: A Resource Book</w:t>
      </w:r>
      <w:r w:rsidRPr="005D7843">
        <w:rPr>
          <w:rFonts w:ascii="Tahoma" w:eastAsia="Times New Roman" w:hAnsi="Tahoma" w:cs="Tahoma"/>
          <w:sz w:val="20"/>
          <w:szCs w:val="20"/>
          <w:lang w:val="en-US"/>
        </w:rPr>
        <w:t xml:space="preserve">. Baguio City, </w:t>
      </w:r>
      <w:proofErr w:type="spellStart"/>
      <w:r w:rsidRPr="005D7843">
        <w:rPr>
          <w:rFonts w:ascii="Tahoma" w:eastAsia="Times New Roman" w:hAnsi="Tahoma" w:cs="Tahoma"/>
          <w:sz w:val="20"/>
          <w:szCs w:val="20"/>
          <w:lang w:val="en-US"/>
        </w:rPr>
        <w:t>Tebtebba</w:t>
      </w:r>
      <w:proofErr w:type="spellEnd"/>
      <w:r w:rsidRPr="005D7843">
        <w:rPr>
          <w:rFonts w:ascii="Tahoma" w:eastAsia="Times New Roman" w:hAnsi="Tahoma" w:cs="Tahoma"/>
          <w:sz w:val="20"/>
          <w:szCs w:val="20"/>
          <w:lang w:val="en-US"/>
        </w:rPr>
        <w:t xml:space="preserve"> Foundation.</w:t>
      </w:r>
    </w:p>
    <w:p w:rsidR="005D7843" w:rsidRPr="005D7843" w:rsidRDefault="005D7843" w:rsidP="005D7843">
      <w:pPr>
        <w:numPr>
          <w:ilvl w:val="0"/>
          <w:numId w:val="9"/>
        </w:numPr>
        <w:rPr>
          <w:rFonts w:ascii="Tahoma" w:eastAsia="Times New Roman" w:hAnsi="Tahoma" w:cs="Tahoma"/>
          <w:bCs/>
          <w:sz w:val="20"/>
          <w:szCs w:val="20"/>
          <w:lang w:val="en-US"/>
        </w:rPr>
      </w:pPr>
      <w:proofErr w:type="spellStart"/>
      <w:r w:rsidRPr="005D7843">
        <w:rPr>
          <w:rFonts w:ascii="Tahoma" w:eastAsia="Times New Roman" w:hAnsi="Tahoma" w:cs="Tahoma"/>
          <w:sz w:val="20"/>
          <w:szCs w:val="20"/>
          <w:lang w:val="en-US"/>
        </w:rPr>
        <w:t>Wilusz</w:t>
      </w:r>
      <w:proofErr w:type="spellEnd"/>
      <w:r w:rsidRPr="005D7843">
        <w:rPr>
          <w:rFonts w:ascii="Tahoma" w:eastAsia="Times New Roman" w:hAnsi="Tahoma" w:cs="Tahoma"/>
          <w:sz w:val="20"/>
          <w:szCs w:val="20"/>
          <w:lang w:val="en-US"/>
        </w:rPr>
        <w:t xml:space="preserve">, D. 2010, </w:t>
      </w:r>
      <w:r w:rsidRPr="005D7843">
        <w:rPr>
          <w:rFonts w:ascii="Tahoma" w:eastAsia="Times New Roman" w:hAnsi="Tahoma" w:cs="Tahoma"/>
          <w:i/>
          <w:sz w:val="20"/>
          <w:szCs w:val="20"/>
          <w:lang w:val="en-US"/>
        </w:rPr>
        <w:t>Quantitative Indicators for Common Property Tenure Security</w:t>
      </w:r>
      <w:r w:rsidRPr="005D7843">
        <w:rPr>
          <w:rFonts w:ascii="Tahoma" w:eastAsia="Times New Roman" w:hAnsi="Tahoma" w:cs="Tahoma"/>
          <w:sz w:val="20"/>
          <w:szCs w:val="20"/>
          <w:lang w:val="en-US"/>
        </w:rPr>
        <w:t xml:space="preserve">, Washington: CAPRI and International Land Coalition. </w:t>
      </w:r>
    </w:p>
    <w:p w:rsidR="005D7843" w:rsidRPr="005D7843" w:rsidRDefault="005D7843" w:rsidP="005D7843">
      <w:pPr>
        <w:numPr>
          <w:ilvl w:val="0"/>
          <w:numId w:val="9"/>
        </w:numPr>
        <w:rPr>
          <w:rFonts w:ascii="Tahoma" w:eastAsia="Times New Roman" w:hAnsi="Tahoma" w:cs="Tahoma"/>
          <w:bCs/>
          <w:sz w:val="20"/>
          <w:szCs w:val="20"/>
          <w:lang w:val="en-US"/>
        </w:rPr>
      </w:pPr>
      <w:r w:rsidRPr="005D7843">
        <w:rPr>
          <w:rFonts w:ascii="Tahoma" w:eastAsia="Times New Roman" w:hAnsi="Tahoma" w:cs="Tahoma"/>
          <w:sz w:val="20"/>
          <w:szCs w:val="20"/>
          <w:lang w:val="en-US"/>
        </w:rPr>
        <w:t>Committee on World Food Security. Voluntary Guidelines on the Responsible Governance of Tenure of Land, Fisheries and Forests. FAO: 2012.</w:t>
      </w:r>
    </w:p>
    <w:p w:rsidR="0035634B" w:rsidRDefault="0035634B">
      <w:bookmarkStart w:id="1" w:name="_GoBack"/>
      <w:bookmarkEnd w:id="1"/>
    </w:p>
    <w:sectPr w:rsidR="0035634B">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44D9" w:rsidRDefault="000744D9" w:rsidP="005D7843">
      <w:r>
        <w:separator/>
      </w:r>
    </w:p>
  </w:endnote>
  <w:endnote w:type="continuationSeparator" w:id="0">
    <w:p w:rsidR="000744D9" w:rsidRDefault="000744D9" w:rsidP="005D78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44D9" w:rsidRDefault="000744D9" w:rsidP="005D7843">
      <w:r>
        <w:separator/>
      </w:r>
    </w:p>
  </w:footnote>
  <w:footnote w:type="continuationSeparator" w:id="0">
    <w:p w:rsidR="000744D9" w:rsidRDefault="000744D9" w:rsidP="005D7843">
      <w:r>
        <w:continuationSeparator/>
      </w:r>
    </w:p>
  </w:footnote>
  <w:footnote w:id="1">
    <w:p w:rsidR="005D7843" w:rsidRDefault="005D7843" w:rsidP="005D7843">
      <w:pPr>
        <w:spacing w:after="120"/>
        <w:jc w:val="both"/>
        <w:rPr>
          <w:rFonts w:ascii="Calibri Light" w:hAnsi="Calibri Light"/>
          <w:spacing w:val="-2"/>
          <w:sz w:val="16"/>
          <w:szCs w:val="16"/>
        </w:rPr>
      </w:pPr>
      <w:r>
        <w:rPr>
          <w:rFonts w:ascii="Calibri Light" w:hAnsi="Calibri Light"/>
          <w:spacing w:val="-2"/>
          <w:sz w:val="16"/>
          <w:szCs w:val="16"/>
          <w:vertAlign w:val="superscript"/>
        </w:rPr>
        <w:footnoteRef/>
      </w:r>
      <w:r>
        <w:rPr>
          <w:rFonts w:ascii="Calibri Light" w:hAnsi="Calibri Light"/>
          <w:spacing w:val="-2"/>
          <w:sz w:val="16"/>
          <w:szCs w:val="16"/>
          <w:vertAlign w:val="superscript"/>
        </w:rPr>
        <w:t xml:space="preserve"> </w:t>
      </w:r>
      <w:r>
        <w:rPr>
          <w:rFonts w:ascii="Calibri Light" w:hAnsi="Calibri Light"/>
          <w:spacing w:val="-2"/>
          <w:sz w:val="16"/>
          <w:szCs w:val="16"/>
        </w:rPr>
        <w:t xml:space="preserve"> Please note that because the indicator is based on the </w:t>
      </w:r>
      <w:r>
        <w:rPr>
          <w:rFonts w:ascii="Calibri Light" w:hAnsi="Calibri Light"/>
          <w:i/>
          <w:spacing w:val="-2"/>
          <w:sz w:val="16"/>
          <w:szCs w:val="16"/>
        </w:rPr>
        <w:t>number</w:t>
      </w:r>
      <w:r>
        <w:rPr>
          <w:rFonts w:ascii="Calibri Light" w:hAnsi="Calibri Light"/>
          <w:spacing w:val="-2"/>
          <w:sz w:val="16"/>
          <w:szCs w:val="16"/>
        </w:rPr>
        <w:t xml:space="preserve"> of women who have documented rights to land, the data must include an individual ID. Otherwise, a woman who owns several plots of land, for example, will be counted multiple times.</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4314F6"/>
    <w:multiLevelType w:val="hybridMultilevel"/>
    <w:tmpl w:val="EB747DAA"/>
    <w:lvl w:ilvl="0" w:tplc="81868A38">
      <w:start w:val="5"/>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97655AB"/>
    <w:multiLevelType w:val="hybridMultilevel"/>
    <w:tmpl w:val="8F1221B4"/>
    <w:lvl w:ilvl="0" w:tplc="72964534">
      <w:start w:val="1"/>
      <w:numFmt w:val="bullet"/>
      <w:lvlText w:val="-"/>
      <w:lvlJc w:val="left"/>
      <w:pPr>
        <w:ind w:left="360" w:hanging="360"/>
      </w:pPr>
      <w:rPr>
        <w:rFonts w:ascii="Tahoma" w:eastAsia="Calibri" w:hAnsi="Tahoma" w:cs="Tahoma"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2">
    <w:nsid w:val="2C405BF6"/>
    <w:multiLevelType w:val="hybridMultilevel"/>
    <w:tmpl w:val="5DA87D1A"/>
    <w:lvl w:ilvl="0" w:tplc="72964534">
      <w:start w:val="1"/>
      <w:numFmt w:val="bullet"/>
      <w:lvlText w:val="-"/>
      <w:lvlJc w:val="left"/>
      <w:pPr>
        <w:ind w:left="644" w:hanging="360"/>
      </w:pPr>
      <w:rPr>
        <w:rFonts w:ascii="Tahoma" w:eastAsia="Calibri" w:hAnsi="Tahoma" w:cs="Tahoma"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3FDC272E"/>
    <w:multiLevelType w:val="hybridMultilevel"/>
    <w:tmpl w:val="81DEC16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465B5897"/>
    <w:multiLevelType w:val="hybridMultilevel"/>
    <w:tmpl w:val="2A72B120"/>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521119C7"/>
    <w:multiLevelType w:val="hybridMultilevel"/>
    <w:tmpl w:val="43EE8ED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55491663"/>
    <w:multiLevelType w:val="hybridMultilevel"/>
    <w:tmpl w:val="F160A4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62E70D02"/>
    <w:multiLevelType w:val="hybridMultilevel"/>
    <w:tmpl w:val="7F647C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70FF492E"/>
    <w:multiLevelType w:val="hybridMultilevel"/>
    <w:tmpl w:val="3D38E2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8"/>
  </w:num>
  <w:num w:numId="2">
    <w:abstractNumId w:val="2"/>
  </w:num>
  <w:num w:numId="3">
    <w:abstractNumId w:val="4"/>
  </w:num>
  <w:num w:numId="4">
    <w:abstractNumId w:val="3"/>
  </w:num>
  <w:num w:numId="5">
    <w:abstractNumId w:val="5"/>
  </w:num>
  <w:num w:numId="6">
    <w:abstractNumId w:val="0"/>
  </w:num>
  <w:num w:numId="7">
    <w:abstractNumId w:val="7"/>
  </w:num>
  <w:num w:numId="8">
    <w:abstractNumId w:val="6"/>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1"/>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7843"/>
    <w:rsid w:val="000744D9"/>
    <w:rsid w:val="0035634B"/>
    <w:rsid w:val="00374D74"/>
    <w:rsid w:val="005D784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color w:val="000000"/>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4D74"/>
  </w:style>
  <w:style w:type="paragraph" w:styleId="Heading1">
    <w:name w:val="heading 1"/>
    <w:basedOn w:val="ListParagraph"/>
    <w:next w:val="Normal"/>
    <w:link w:val="Heading1Char"/>
    <w:autoRedefine/>
    <w:uiPriority w:val="9"/>
    <w:qFormat/>
    <w:rsid w:val="00374D74"/>
    <w:pPr>
      <w:ind w:left="0"/>
      <w:jc w:val="both"/>
      <w:outlineLvl w:val="0"/>
    </w:pPr>
    <w:rPr>
      <w:b/>
      <w:sz w:val="44"/>
      <w:szCs w:val="44"/>
    </w:rPr>
  </w:style>
  <w:style w:type="paragraph" w:styleId="Heading2">
    <w:name w:val="heading 2"/>
    <w:basedOn w:val="Normal"/>
    <w:next w:val="Normal"/>
    <w:link w:val="Heading2Char"/>
    <w:uiPriority w:val="9"/>
    <w:unhideWhenUsed/>
    <w:qFormat/>
    <w:rsid w:val="00374D74"/>
    <w:pPr>
      <w:outlineLvl w:val="1"/>
    </w:pPr>
    <w:rPr>
      <w:b/>
      <w:sz w:val="28"/>
      <w:szCs w:val="28"/>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TOC2"/>
    <w:qFormat/>
    <w:rsid w:val="00374D74"/>
    <w:rPr>
      <w:b/>
      <w:sz w:val="24"/>
    </w:rPr>
  </w:style>
  <w:style w:type="paragraph" w:styleId="TOC2">
    <w:name w:val="toc 2"/>
    <w:basedOn w:val="Normal"/>
    <w:next w:val="Normal"/>
    <w:autoRedefine/>
    <w:uiPriority w:val="39"/>
    <w:unhideWhenUsed/>
    <w:qFormat/>
    <w:rsid w:val="00374D74"/>
    <w:pPr>
      <w:tabs>
        <w:tab w:val="right" w:leader="dot" w:pos="9678"/>
      </w:tabs>
      <w:spacing w:after="100"/>
      <w:jc w:val="both"/>
    </w:pPr>
    <w:rPr>
      <w:rFonts w:eastAsiaTheme="minorEastAsia"/>
      <w:noProof/>
      <w:sz w:val="36"/>
      <w:szCs w:val="36"/>
      <w:lang w:val="en-US" w:eastAsia="ja-JP"/>
    </w:rPr>
  </w:style>
  <w:style w:type="paragraph" w:customStyle="1" w:styleId="Style2">
    <w:name w:val="Style2"/>
    <w:basedOn w:val="TOC2"/>
    <w:autoRedefine/>
    <w:qFormat/>
    <w:rsid w:val="00374D74"/>
    <w:rPr>
      <w:b/>
      <w:sz w:val="24"/>
    </w:rPr>
  </w:style>
  <w:style w:type="paragraph" w:customStyle="1" w:styleId="Style3">
    <w:name w:val="Style3"/>
    <w:basedOn w:val="TOC2"/>
    <w:qFormat/>
    <w:rsid w:val="00374D74"/>
    <w:rPr>
      <w:b/>
      <w:sz w:val="24"/>
    </w:rPr>
  </w:style>
  <w:style w:type="paragraph" w:customStyle="1" w:styleId="Style4">
    <w:name w:val="Style4"/>
    <w:basedOn w:val="TOC2"/>
    <w:qFormat/>
    <w:rsid w:val="00374D74"/>
    <w:rPr>
      <w:b/>
      <w:sz w:val="24"/>
    </w:rPr>
  </w:style>
  <w:style w:type="paragraph" w:customStyle="1" w:styleId="Style5">
    <w:name w:val="Style5"/>
    <w:basedOn w:val="TOC2"/>
    <w:qFormat/>
    <w:rsid w:val="00374D74"/>
    <w:rPr>
      <w:b/>
      <w:sz w:val="24"/>
    </w:rPr>
  </w:style>
  <w:style w:type="paragraph" w:customStyle="1" w:styleId="Style6">
    <w:name w:val="Style6"/>
    <w:basedOn w:val="TOC2"/>
    <w:qFormat/>
    <w:rsid w:val="00374D74"/>
    <w:rPr>
      <w:b/>
      <w:sz w:val="24"/>
    </w:rPr>
  </w:style>
  <w:style w:type="paragraph" w:customStyle="1" w:styleId="Style7">
    <w:name w:val="Style7"/>
    <w:basedOn w:val="TOC1"/>
    <w:qFormat/>
    <w:rsid w:val="00374D74"/>
  </w:style>
  <w:style w:type="paragraph" w:styleId="TOC1">
    <w:name w:val="toc 1"/>
    <w:basedOn w:val="Normal"/>
    <w:next w:val="Normal"/>
    <w:autoRedefine/>
    <w:uiPriority w:val="39"/>
    <w:unhideWhenUsed/>
    <w:qFormat/>
    <w:rsid w:val="00374D74"/>
    <w:pPr>
      <w:tabs>
        <w:tab w:val="left" w:pos="660"/>
        <w:tab w:val="right" w:leader="dot" w:pos="9678"/>
      </w:tabs>
      <w:spacing w:after="120"/>
      <w:outlineLvl w:val="0"/>
    </w:pPr>
    <w:rPr>
      <w:b/>
      <w:sz w:val="28"/>
      <w:szCs w:val="28"/>
    </w:rPr>
  </w:style>
  <w:style w:type="character" w:customStyle="1" w:styleId="Heading1Char">
    <w:name w:val="Heading 1 Char"/>
    <w:basedOn w:val="DefaultParagraphFont"/>
    <w:link w:val="Heading1"/>
    <w:uiPriority w:val="9"/>
    <w:rsid w:val="00374D74"/>
    <w:rPr>
      <w:rFonts w:ascii="Times New Roman" w:hAnsi="Times New Roman" w:cs="Times New Roman"/>
      <w:b/>
      <w:sz w:val="44"/>
      <w:szCs w:val="44"/>
    </w:rPr>
  </w:style>
  <w:style w:type="paragraph" w:styleId="ListParagraph">
    <w:name w:val="List Paragraph"/>
    <w:basedOn w:val="Normal"/>
    <w:uiPriority w:val="34"/>
    <w:qFormat/>
    <w:rsid w:val="00374D74"/>
    <w:pPr>
      <w:ind w:left="720"/>
      <w:contextualSpacing/>
    </w:pPr>
  </w:style>
  <w:style w:type="character" w:customStyle="1" w:styleId="Heading2Char">
    <w:name w:val="Heading 2 Char"/>
    <w:basedOn w:val="DefaultParagraphFont"/>
    <w:link w:val="Heading2"/>
    <w:uiPriority w:val="9"/>
    <w:rsid w:val="00374D74"/>
    <w:rPr>
      <w:rFonts w:ascii="Times New Roman" w:hAnsi="Times New Roman" w:cs="Times New Roman"/>
      <w:b/>
      <w:sz w:val="28"/>
      <w:szCs w:val="28"/>
      <w:lang w:eastAsia="en-GB"/>
    </w:rPr>
  </w:style>
  <w:style w:type="paragraph" w:styleId="TOC3">
    <w:name w:val="toc 3"/>
    <w:basedOn w:val="Normal"/>
    <w:next w:val="Normal"/>
    <w:autoRedefine/>
    <w:uiPriority w:val="39"/>
    <w:semiHidden/>
    <w:unhideWhenUsed/>
    <w:qFormat/>
    <w:rsid w:val="00374D74"/>
    <w:pPr>
      <w:spacing w:after="100"/>
      <w:ind w:left="440"/>
    </w:pPr>
    <w:rPr>
      <w:rFonts w:eastAsiaTheme="minorEastAsia"/>
      <w:lang w:val="en-US" w:eastAsia="ja-JP"/>
    </w:rPr>
  </w:style>
  <w:style w:type="character" w:styleId="Emphasis">
    <w:name w:val="Emphasis"/>
    <w:basedOn w:val="DefaultParagraphFont"/>
    <w:uiPriority w:val="20"/>
    <w:qFormat/>
    <w:rsid w:val="00374D74"/>
    <w:rPr>
      <w:i/>
      <w:iCs/>
    </w:rPr>
  </w:style>
  <w:style w:type="paragraph" w:styleId="NoSpacing">
    <w:name w:val="No Spacing"/>
    <w:uiPriority w:val="1"/>
    <w:qFormat/>
    <w:rsid w:val="00374D74"/>
    <w:rPr>
      <w:rFonts w:eastAsia="Times New Roman"/>
      <w:lang w:eastAsia="en-GB"/>
    </w:rPr>
  </w:style>
  <w:style w:type="paragraph" w:styleId="TOCHeading">
    <w:name w:val="TOC Heading"/>
    <w:basedOn w:val="Heading1"/>
    <w:next w:val="Normal"/>
    <w:uiPriority w:val="39"/>
    <w:semiHidden/>
    <w:unhideWhenUsed/>
    <w:qFormat/>
    <w:rsid w:val="00374D74"/>
    <w:pPr>
      <w:outlineLvl w:val="9"/>
    </w:pPr>
    <w:rPr>
      <w:lang w:val="en-US"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color w:val="000000"/>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4D74"/>
  </w:style>
  <w:style w:type="paragraph" w:styleId="Heading1">
    <w:name w:val="heading 1"/>
    <w:basedOn w:val="ListParagraph"/>
    <w:next w:val="Normal"/>
    <w:link w:val="Heading1Char"/>
    <w:autoRedefine/>
    <w:uiPriority w:val="9"/>
    <w:qFormat/>
    <w:rsid w:val="00374D74"/>
    <w:pPr>
      <w:ind w:left="0"/>
      <w:jc w:val="both"/>
      <w:outlineLvl w:val="0"/>
    </w:pPr>
    <w:rPr>
      <w:b/>
      <w:sz w:val="44"/>
      <w:szCs w:val="44"/>
    </w:rPr>
  </w:style>
  <w:style w:type="paragraph" w:styleId="Heading2">
    <w:name w:val="heading 2"/>
    <w:basedOn w:val="Normal"/>
    <w:next w:val="Normal"/>
    <w:link w:val="Heading2Char"/>
    <w:uiPriority w:val="9"/>
    <w:unhideWhenUsed/>
    <w:qFormat/>
    <w:rsid w:val="00374D74"/>
    <w:pPr>
      <w:outlineLvl w:val="1"/>
    </w:pPr>
    <w:rPr>
      <w:b/>
      <w:sz w:val="28"/>
      <w:szCs w:val="28"/>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TOC2"/>
    <w:qFormat/>
    <w:rsid w:val="00374D74"/>
    <w:rPr>
      <w:b/>
      <w:sz w:val="24"/>
    </w:rPr>
  </w:style>
  <w:style w:type="paragraph" w:styleId="TOC2">
    <w:name w:val="toc 2"/>
    <w:basedOn w:val="Normal"/>
    <w:next w:val="Normal"/>
    <w:autoRedefine/>
    <w:uiPriority w:val="39"/>
    <w:unhideWhenUsed/>
    <w:qFormat/>
    <w:rsid w:val="00374D74"/>
    <w:pPr>
      <w:tabs>
        <w:tab w:val="right" w:leader="dot" w:pos="9678"/>
      </w:tabs>
      <w:spacing w:after="100"/>
      <w:jc w:val="both"/>
    </w:pPr>
    <w:rPr>
      <w:rFonts w:eastAsiaTheme="minorEastAsia"/>
      <w:noProof/>
      <w:sz w:val="36"/>
      <w:szCs w:val="36"/>
      <w:lang w:val="en-US" w:eastAsia="ja-JP"/>
    </w:rPr>
  </w:style>
  <w:style w:type="paragraph" w:customStyle="1" w:styleId="Style2">
    <w:name w:val="Style2"/>
    <w:basedOn w:val="TOC2"/>
    <w:autoRedefine/>
    <w:qFormat/>
    <w:rsid w:val="00374D74"/>
    <w:rPr>
      <w:b/>
      <w:sz w:val="24"/>
    </w:rPr>
  </w:style>
  <w:style w:type="paragraph" w:customStyle="1" w:styleId="Style3">
    <w:name w:val="Style3"/>
    <w:basedOn w:val="TOC2"/>
    <w:qFormat/>
    <w:rsid w:val="00374D74"/>
    <w:rPr>
      <w:b/>
      <w:sz w:val="24"/>
    </w:rPr>
  </w:style>
  <w:style w:type="paragraph" w:customStyle="1" w:styleId="Style4">
    <w:name w:val="Style4"/>
    <w:basedOn w:val="TOC2"/>
    <w:qFormat/>
    <w:rsid w:val="00374D74"/>
    <w:rPr>
      <w:b/>
      <w:sz w:val="24"/>
    </w:rPr>
  </w:style>
  <w:style w:type="paragraph" w:customStyle="1" w:styleId="Style5">
    <w:name w:val="Style5"/>
    <w:basedOn w:val="TOC2"/>
    <w:qFormat/>
    <w:rsid w:val="00374D74"/>
    <w:rPr>
      <w:b/>
      <w:sz w:val="24"/>
    </w:rPr>
  </w:style>
  <w:style w:type="paragraph" w:customStyle="1" w:styleId="Style6">
    <w:name w:val="Style6"/>
    <w:basedOn w:val="TOC2"/>
    <w:qFormat/>
    <w:rsid w:val="00374D74"/>
    <w:rPr>
      <w:b/>
      <w:sz w:val="24"/>
    </w:rPr>
  </w:style>
  <w:style w:type="paragraph" w:customStyle="1" w:styleId="Style7">
    <w:name w:val="Style7"/>
    <w:basedOn w:val="TOC1"/>
    <w:qFormat/>
    <w:rsid w:val="00374D74"/>
  </w:style>
  <w:style w:type="paragraph" w:styleId="TOC1">
    <w:name w:val="toc 1"/>
    <w:basedOn w:val="Normal"/>
    <w:next w:val="Normal"/>
    <w:autoRedefine/>
    <w:uiPriority w:val="39"/>
    <w:unhideWhenUsed/>
    <w:qFormat/>
    <w:rsid w:val="00374D74"/>
    <w:pPr>
      <w:tabs>
        <w:tab w:val="left" w:pos="660"/>
        <w:tab w:val="right" w:leader="dot" w:pos="9678"/>
      </w:tabs>
      <w:spacing w:after="120"/>
      <w:outlineLvl w:val="0"/>
    </w:pPr>
    <w:rPr>
      <w:b/>
      <w:sz w:val="28"/>
      <w:szCs w:val="28"/>
    </w:rPr>
  </w:style>
  <w:style w:type="character" w:customStyle="1" w:styleId="Heading1Char">
    <w:name w:val="Heading 1 Char"/>
    <w:basedOn w:val="DefaultParagraphFont"/>
    <w:link w:val="Heading1"/>
    <w:uiPriority w:val="9"/>
    <w:rsid w:val="00374D74"/>
    <w:rPr>
      <w:rFonts w:ascii="Times New Roman" w:hAnsi="Times New Roman" w:cs="Times New Roman"/>
      <w:b/>
      <w:sz w:val="44"/>
      <w:szCs w:val="44"/>
    </w:rPr>
  </w:style>
  <w:style w:type="paragraph" w:styleId="ListParagraph">
    <w:name w:val="List Paragraph"/>
    <w:basedOn w:val="Normal"/>
    <w:uiPriority w:val="34"/>
    <w:qFormat/>
    <w:rsid w:val="00374D74"/>
    <w:pPr>
      <w:ind w:left="720"/>
      <w:contextualSpacing/>
    </w:pPr>
  </w:style>
  <w:style w:type="character" w:customStyle="1" w:styleId="Heading2Char">
    <w:name w:val="Heading 2 Char"/>
    <w:basedOn w:val="DefaultParagraphFont"/>
    <w:link w:val="Heading2"/>
    <w:uiPriority w:val="9"/>
    <w:rsid w:val="00374D74"/>
    <w:rPr>
      <w:rFonts w:ascii="Times New Roman" w:hAnsi="Times New Roman" w:cs="Times New Roman"/>
      <w:b/>
      <w:sz w:val="28"/>
      <w:szCs w:val="28"/>
      <w:lang w:eastAsia="en-GB"/>
    </w:rPr>
  </w:style>
  <w:style w:type="paragraph" w:styleId="TOC3">
    <w:name w:val="toc 3"/>
    <w:basedOn w:val="Normal"/>
    <w:next w:val="Normal"/>
    <w:autoRedefine/>
    <w:uiPriority w:val="39"/>
    <w:semiHidden/>
    <w:unhideWhenUsed/>
    <w:qFormat/>
    <w:rsid w:val="00374D74"/>
    <w:pPr>
      <w:spacing w:after="100"/>
      <w:ind w:left="440"/>
    </w:pPr>
    <w:rPr>
      <w:rFonts w:eastAsiaTheme="minorEastAsia"/>
      <w:lang w:val="en-US" w:eastAsia="ja-JP"/>
    </w:rPr>
  </w:style>
  <w:style w:type="character" w:styleId="Emphasis">
    <w:name w:val="Emphasis"/>
    <w:basedOn w:val="DefaultParagraphFont"/>
    <w:uiPriority w:val="20"/>
    <w:qFormat/>
    <w:rsid w:val="00374D74"/>
    <w:rPr>
      <w:i/>
      <w:iCs/>
    </w:rPr>
  </w:style>
  <w:style w:type="paragraph" w:styleId="NoSpacing">
    <w:name w:val="No Spacing"/>
    <w:uiPriority w:val="1"/>
    <w:qFormat/>
    <w:rsid w:val="00374D74"/>
    <w:rPr>
      <w:rFonts w:eastAsia="Times New Roman"/>
      <w:lang w:eastAsia="en-GB"/>
    </w:rPr>
  </w:style>
  <w:style w:type="paragraph" w:styleId="TOCHeading">
    <w:name w:val="TOC Heading"/>
    <w:basedOn w:val="Heading1"/>
    <w:next w:val="Normal"/>
    <w:uiPriority w:val="39"/>
    <w:semiHidden/>
    <w:unhideWhenUsed/>
    <w:qFormat/>
    <w:rsid w:val="00374D74"/>
    <w:pPr>
      <w:outlineLvl w:val="9"/>
    </w:pPr>
    <w:rPr>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con.worldbank.org/WBSITE/EXTERNAL/EXTDEC/EXTRESEARCH/EXTPROGRAMS/EXTFINRES/EXTGLOBALFIN/0,,contentMDK:23172730~pagePK:64168182~piPK:64168060~theSitePK:8519639,00.html"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oxfam.org/sites/www.oxfam.org/files/file_attachments/post2015_landrightsindicators_10marchb.pdf" TargetMode="External"/><Relationship Id="rId5" Type="http://schemas.openxmlformats.org/officeDocument/2006/relationships/webSettings" Target="webSettings.xml"/><Relationship Id="rId10" Type="http://schemas.openxmlformats.org/officeDocument/2006/relationships/hyperlink" Target="http://unhabitat.org/gltn/" TargetMode="External"/><Relationship Id="rId4" Type="http://schemas.openxmlformats.org/officeDocument/2006/relationships/settings" Target="settings.xml"/><Relationship Id="rId9" Type="http://schemas.openxmlformats.org/officeDocument/2006/relationships/hyperlink" Target="http://www.fao.org/economic/ess/ess-fs/voices/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2379</Words>
  <Characters>13561</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United Nations</Company>
  <LinksUpToDate>false</LinksUpToDate>
  <CharactersWithSpaces>15909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Benjamin Rae</dc:creator>
  <cp:lastModifiedBy>Benjamin Rae</cp:lastModifiedBy>
  <cp:revision>1</cp:revision>
  <dcterms:created xsi:type="dcterms:W3CDTF">2015-05-19T19:21:00Z</dcterms:created>
  <dcterms:modified xsi:type="dcterms:W3CDTF">2015-05-19T19:21:00Z</dcterms:modified>
</cp:coreProperties>
</file>